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61B" w14:textId="77777777" w:rsidR="00D53820" w:rsidRDefault="00D53820" w:rsidP="00296EBF">
      <w:pPr>
        <w:rPr>
          <w:rFonts w:ascii="Arial" w:hAnsi="Arial" w:cs="Arial"/>
          <w:b/>
        </w:rPr>
      </w:pPr>
    </w:p>
    <w:p w14:paraId="2CA1F6F7" w14:textId="77777777" w:rsidR="00D53D2E" w:rsidRPr="00E31A72" w:rsidRDefault="00D53D2E" w:rsidP="00FA6A06">
      <w:pPr>
        <w:ind w:left="142"/>
        <w:jc w:val="center"/>
        <w:rPr>
          <w:rFonts w:ascii="Arial" w:hAnsi="Arial" w:cs="Arial"/>
        </w:rPr>
      </w:pPr>
      <w:r w:rsidRPr="001168B2">
        <w:rPr>
          <w:rFonts w:ascii="Arial" w:hAnsi="Arial" w:cs="Arial"/>
          <w:noProof/>
        </w:rPr>
        <w:drawing>
          <wp:inline distT="0" distB="0" distL="0" distR="0" wp14:anchorId="13575EB5" wp14:editId="19D8F376">
            <wp:extent cx="2260600" cy="1390650"/>
            <wp:effectExtent l="0" t="0" r="0" b="0"/>
            <wp:docPr id="294546140" name="Picture 1" descr="LH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H_logo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2A09" w14:textId="77777777" w:rsidR="00D53D2E" w:rsidRDefault="00D53D2E" w:rsidP="00D53D2E">
      <w:pPr>
        <w:jc w:val="center"/>
        <w:rPr>
          <w:rFonts w:ascii="Arial" w:hAnsi="Arial" w:cs="Arial"/>
          <w:b/>
          <w:sz w:val="28"/>
        </w:rPr>
      </w:pPr>
    </w:p>
    <w:p w14:paraId="077B5218" w14:textId="77777777" w:rsidR="00D53D2E" w:rsidRDefault="00D53D2E" w:rsidP="00D53D2E">
      <w:pPr>
        <w:jc w:val="center"/>
        <w:rPr>
          <w:rFonts w:ascii="Arial" w:hAnsi="Arial" w:cs="Arial"/>
          <w:b/>
          <w:sz w:val="28"/>
        </w:rPr>
      </w:pPr>
    </w:p>
    <w:p w14:paraId="21092602" w14:textId="0ACACE08" w:rsidR="00D53D2E" w:rsidRPr="00E31A72" w:rsidRDefault="00D53D2E" w:rsidP="00D53D2E">
      <w:pPr>
        <w:jc w:val="center"/>
        <w:rPr>
          <w:rFonts w:ascii="Arial" w:hAnsi="Arial" w:cs="Arial"/>
          <w:b/>
          <w:sz w:val="28"/>
        </w:rPr>
      </w:pPr>
      <w:r w:rsidRPr="00E31A72">
        <w:rPr>
          <w:rFonts w:ascii="Arial" w:hAnsi="Arial" w:cs="Arial"/>
          <w:b/>
          <w:sz w:val="28"/>
        </w:rPr>
        <w:t xml:space="preserve">Consultation </w:t>
      </w:r>
      <w:r w:rsidR="004B6874">
        <w:rPr>
          <w:rFonts w:ascii="Arial" w:hAnsi="Arial" w:cs="Arial"/>
          <w:b/>
          <w:sz w:val="28"/>
        </w:rPr>
        <w:t>Paper</w:t>
      </w:r>
      <w:r>
        <w:rPr>
          <w:rFonts w:ascii="Arial" w:hAnsi="Arial" w:cs="Arial"/>
          <w:b/>
          <w:sz w:val="28"/>
        </w:rPr>
        <w:t xml:space="preserve"> </w:t>
      </w:r>
      <w:r w:rsidRPr="00E31A72">
        <w:rPr>
          <w:rFonts w:ascii="Arial" w:hAnsi="Arial" w:cs="Arial"/>
          <w:b/>
          <w:sz w:val="28"/>
        </w:rPr>
        <w:t xml:space="preserve">– </w:t>
      </w:r>
      <w:r>
        <w:rPr>
          <w:rFonts w:ascii="Arial" w:hAnsi="Arial" w:cs="Arial"/>
          <w:b/>
          <w:sz w:val="28"/>
        </w:rPr>
        <w:t>October 2023</w:t>
      </w:r>
    </w:p>
    <w:p w14:paraId="7703D28C" w14:textId="77777777" w:rsidR="00D53D2E" w:rsidRPr="00E31A72" w:rsidRDefault="00D53D2E" w:rsidP="00D53D2E">
      <w:pPr>
        <w:jc w:val="center"/>
        <w:rPr>
          <w:rFonts w:ascii="Arial" w:hAnsi="Arial" w:cs="Arial"/>
          <w:b/>
          <w:sz w:val="28"/>
        </w:rPr>
      </w:pPr>
    </w:p>
    <w:p w14:paraId="68B12B0F" w14:textId="24807D5D" w:rsidR="00D53D2E" w:rsidRDefault="00D53D2E" w:rsidP="00D53D2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Notional</w:t>
      </w:r>
      <w:r w:rsidR="008C53CC">
        <w:rPr>
          <w:rFonts w:ascii="Arial" w:hAnsi="Arial" w:cs="Arial"/>
          <w:b/>
          <w:sz w:val="28"/>
        </w:rPr>
        <w:t xml:space="preserve"> SEN Budget for Mainstream Schools</w:t>
      </w:r>
      <w:r>
        <w:rPr>
          <w:rFonts w:ascii="Arial" w:hAnsi="Arial" w:cs="Arial"/>
          <w:b/>
          <w:sz w:val="28"/>
        </w:rPr>
        <w:t xml:space="preserve"> 2024/25</w:t>
      </w:r>
    </w:p>
    <w:p w14:paraId="6FCDD55C" w14:textId="77777777" w:rsidR="00D53D2E" w:rsidRDefault="00D53D2E" w:rsidP="00D53D2E">
      <w:pPr>
        <w:jc w:val="center"/>
        <w:rPr>
          <w:rFonts w:ascii="Arial" w:hAnsi="Arial" w:cs="Arial"/>
          <w:b/>
          <w:sz w:val="28"/>
        </w:rPr>
      </w:pPr>
    </w:p>
    <w:p w14:paraId="467F0E60" w14:textId="4053A384" w:rsidR="00D53D2E" w:rsidRPr="00E31A72" w:rsidRDefault="00D53D2E" w:rsidP="00D53D2E">
      <w:pPr>
        <w:jc w:val="center"/>
        <w:rPr>
          <w:rFonts w:ascii="Arial" w:hAnsi="Arial" w:cs="Arial"/>
        </w:rPr>
      </w:pPr>
      <w:r w:rsidRPr="00B315D4">
        <w:rPr>
          <w:rFonts w:ascii="Arial" w:hAnsi="Arial" w:cs="Arial"/>
          <w:b/>
          <w:bCs/>
        </w:rPr>
        <w:t>Deadline for response</w:t>
      </w:r>
      <w:r>
        <w:rPr>
          <w:rFonts w:ascii="Arial" w:hAnsi="Arial" w:cs="Arial"/>
        </w:rPr>
        <w:t xml:space="preserve">: </w:t>
      </w:r>
      <w:r w:rsidR="00103FCC">
        <w:rPr>
          <w:rFonts w:ascii="Arial" w:hAnsi="Arial" w:cs="Arial"/>
          <w:b/>
          <w:bCs/>
        </w:rPr>
        <w:t>21</w:t>
      </w:r>
      <w:r w:rsidRPr="00B315D4">
        <w:rPr>
          <w:rFonts w:ascii="Arial" w:hAnsi="Arial" w:cs="Arial"/>
          <w:b/>
          <w:bCs/>
        </w:rPr>
        <w:t xml:space="preserve"> November 2023</w:t>
      </w:r>
    </w:p>
    <w:p w14:paraId="269C52A2" w14:textId="77777777" w:rsidR="00296EBF" w:rsidRDefault="00296EBF" w:rsidP="00296EBF">
      <w:pPr>
        <w:rPr>
          <w:rFonts w:ascii="Arial" w:hAnsi="Arial" w:cs="Arial"/>
        </w:rPr>
      </w:pPr>
    </w:p>
    <w:p w14:paraId="1250E6E2" w14:textId="77777777" w:rsidR="004B6874" w:rsidRDefault="004B6874" w:rsidP="00296EBF">
      <w:pPr>
        <w:rPr>
          <w:rFonts w:ascii="Arial" w:hAnsi="Arial" w:cs="Arial"/>
        </w:rPr>
      </w:pPr>
    </w:p>
    <w:p w14:paraId="58592875" w14:textId="77777777" w:rsidR="004B6874" w:rsidRDefault="004B6874" w:rsidP="00296EBF">
      <w:pPr>
        <w:rPr>
          <w:rFonts w:ascii="Arial" w:hAnsi="Arial" w:cs="Arial"/>
        </w:rPr>
      </w:pPr>
    </w:p>
    <w:p w14:paraId="561AD855" w14:textId="77777777" w:rsidR="006D3247" w:rsidRDefault="00663A4C" w:rsidP="00E123DB">
      <w:pPr>
        <w:numPr>
          <w:ilvl w:val="0"/>
          <w:numId w:val="2"/>
        </w:numPr>
        <w:tabs>
          <w:tab w:val="clear" w:pos="360"/>
          <w:tab w:val="num" w:pos="567"/>
        </w:tabs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Introduction</w:t>
      </w:r>
    </w:p>
    <w:p w14:paraId="72F17A10" w14:textId="77777777" w:rsidR="00E45253" w:rsidRPr="00E45253" w:rsidRDefault="00E45253" w:rsidP="00E123DB">
      <w:pPr>
        <w:tabs>
          <w:tab w:val="num" w:pos="567"/>
        </w:tabs>
        <w:ind w:left="851" w:hanging="851"/>
        <w:jc w:val="both"/>
        <w:rPr>
          <w:rFonts w:ascii="Arial" w:hAnsi="Arial"/>
          <w:bCs/>
        </w:rPr>
      </w:pPr>
    </w:p>
    <w:p w14:paraId="55E727A2" w14:textId="29D1305E" w:rsidR="00296EBF" w:rsidRDefault="00E123DB" w:rsidP="00E123DB">
      <w:pPr>
        <w:tabs>
          <w:tab w:val="num" w:pos="56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</w:r>
      <w:r w:rsidR="006D3247" w:rsidRPr="00AC1C39">
        <w:rPr>
          <w:rFonts w:ascii="Arial" w:hAnsi="Arial"/>
        </w:rPr>
        <w:t>Th</w:t>
      </w:r>
      <w:r w:rsidR="001A54A7" w:rsidRPr="00AC1C39">
        <w:rPr>
          <w:rFonts w:ascii="Arial" w:hAnsi="Arial"/>
        </w:rPr>
        <w:t xml:space="preserve">is </w:t>
      </w:r>
      <w:r w:rsidR="00AE7B04">
        <w:rPr>
          <w:rFonts w:ascii="Arial" w:hAnsi="Arial"/>
        </w:rPr>
        <w:t xml:space="preserve">paper </w:t>
      </w:r>
      <w:r w:rsidR="001A54A7" w:rsidRPr="00AC1C39">
        <w:rPr>
          <w:rFonts w:ascii="Arial" w:hAnsi="Arial"/>
        </w:rPr>
        <w:t>provides</w:t>
      </w:r>
      <w:r w:rsidR="00663A4C" w:rsidRPr="00AC1C39">
        <w:rPr>
          <w:rFonts w:ascii="Arial" w:hAnsi="Arial"/>
        </w:rPr>
        <w:t xml:space="preserve"> </w:t>
      </w:r>
      <w:r w:rsidR="00AE7B04">
        <w:rPr>
          <w:rFonts w:ascii="Arial" w:hAnsi="Arial"/>
        </w:rPr>
        <w:t xml:space="preserve">mainstream schools </w:t>
      </w:r>
      <w:r w:rsidR="00B11295">
        <w:rPr>
          <w:rFonts w:ascii="Arial" w:hAnsi="Arial"/>
        </w:rPr>
        <w:t xml:space="preserve">with </w:t>
      </w:r>
      <w:r w:rsidR="001A54A7" w:rsidRPr="00AC1C39">
        <w:rPr>
          <w:rFonts w:ascii="Arial" w:hAnsi="Arial"/>
        </w:rPr>
        <w:t>information</w:t>
      </w:r>
      <w:r w:rsidR="00422A9C" w:rsidRPr="00AC1C39">
        <w:rPr>
          <w:rFonts w:ascii="Arial" w:hAnsi="Arial"/>
        </w:rPr>
        <w:t xml:space="preserve"> on t</w:t>
      </w:r>
      <w:r w:rsidR="006D3247" w:rsidRPr="00AC1C39">
        <w:rPr>
          <w:rFonts w:ascii="Arial" w:hAnsi="Arial"/>
        </w:rPr>
        <w:t xml:space="preserve">he </w:t>
      </w:r>
      <w:r w:rsidR="00B10B3A" w:rsidRPr="00AC1C39">
        <w:rPr>
          <w:rFonts w:ascii="Arial" w:hAnsi="Arial"/>
        </w:rPr>
        <w:t xml:space="preserve">requirement for </w:t>
      </w:r>
      <w:r w:rsidR="00AC1C39" w:rsidRPr="00AC1C39">
        <w:rPr>
          <w:rFonts w:ascii="Arial" w:hAnsi="Arial"/>
        </w:rPr>
        <w:t>l</w:t>
      </w:r>
      <w:r w:rsidR="00B10B3A" w:rsidRPr="00AC1C39">
        <w:rPr>
          <w:rFonts w:ascii="Arial" w:hAnsi="Arial"/>
        </w:rPr>
        <w:t xml:space="preserve">ocal authorities to </w:t>
      </w:r>
      <w:r w:rsidR="00AC1C39" w:rsidRPr="00AC1C39">
        <w:rPr>
          <w:rFonts w:ascii="Arial" w:hAnsi="Arial"/>
        </w:rPr>
        <w:t>identify a notional SEN budget for their mainstream schools, t</w:t>
      </w:r>
      <w:r w:rsidR="007A139A">
        <w:rPr>
          <w:rFonts w:ascii="Arial" w:hAnsi="Arial"/>
        </w:rPr>
        <w:t xml:space="preserve">o </w:t>
      </w:r>
      <w:r w:rsidR="00AC1C39" w:rsidRPr="00AC1C39">
        <w:rPr>
          <w:rFonts w:ascii="Arial" w:hAnsi="Arial"/>
        </w:rPr>
        <w:t>help them comply with their duty to meet the special educational needs of their pupils</w:t>
      </w:r>
      <w:r w:rsidR="007A139A">
        <w:rPr>
          <w:rFonts w:ascii="Arial" w:hAnsi="Arial"/>
        </w:rPr>
        <w:t>.</w:t>
      </w:r>
    </w:p>
    <w:p w14:paraId="166D2BB5" w14:textId="77777777" w:rsidR="003242A3" w:rsidRDefault="003242A3" w:rsidP="00E123DB">
      <w:pPr>
        <w:tabs>
          <w:tab w:val="num" w:pos="567"/>
        </w:tabs>
        <w:ind w:left="851" w:hanging="851"/>
        <w:rPr>
          <w:rFonts w:ascii="Arial" w:hAnsi="Arial"/>
        </w:rPr>
      </w:pPr>
    </w:p>
    <w:p w14:paraId="1FE85762" w14:textId="04860879" w:rsidR="00770A13" w:rsidRDefault="00E123DB" w:rsidP="00E123DB">
      <w:pPr>
        <w:tabs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/>
        </w:rPr>
        <w:t>1.2</w:t>
      </w:r>
      <w:r>
        <w:rPr>
          <w:rFonts w:ascii="Arial" w:hAnsi="Arial"/>
        </w:rPr>
        <w:tab/>
      </w:r>
      <w:r w:rsidR="003242A3">
        <w:rPr>
          <w:rFonts w:ascii="Arial" w:hAnsi="Arial"/>
        </w:rPr>
        <w:t>Th</w:t>
      </w:r>
      <w:r w:rsidR="00E06BCA">
        <w:rPr>
          <w:rFonts w:ascii="Arial" w:hAnsi="Arial"/>
        </w:rPr>
        <w:t xml:space="preserve">is </w:t>
      </w:r>
      <w:r w:rsidR="002331ED">
        <w:rPr>
          <w:rFonts w:ascii="Arial" w:hAnsi="Arial"/>
        </w:rPr>
        <w:t xml:space="preserve">paper </w:t>
      </w:r>
      <w:r w:rsidR="005A2734">
        <w:rPr>
          <w:rFonts w:ascii="Arial" w:hAnsi="Arial"/>
        </w:rPr>
        <w:t xml:space="preserve">also </w:t>
      </w:r>
      <w:r w:rsidR="00E06BCA" w:rsidRPr="00E06BCA">
        <w:rPr>
          <w:rFonts w:ascii="Arial" w:hAnsi="Arial"/>
        </w:rPr>
        <w:t xml:space="preserve">provides background information to help you respond to the </w:t>
      </w:r>
      <w:r w:rsidR="0090252E">
        <w:rPr>
          <w:rFonts w:ascii="Arial" w:hAnsi="Arial"/>
        </w:rPr>
        <w:t xml:space="preserve">consultation </w:t>
      </w:r>
      <w:r w:rsidR="00CD2D5F">
        <w:rPr>
          <w:rFonts w:ascii="Arial" w:hAnsi="Arial"/>
        </w:rPr>
        <w:t>on the consultation response</w:t>
      </w:r>
      <w:r w:rsidR="000C4BAD">
        <w:rPr>
          <w:rFonts w:ascii="Arial" w:hAnsi="Arial"/>
        </w:rPr>
        <w:t xml:space="preserve"> document which accompanies this paper.</w:t>
      </w:r>
    </w:p>
    <w:p w14:paraId="377A4B41" w14:textId="77777777" w:rsidR="0051614D" w:rsidRDefault="0051614D" w:rsidP="00E123DB">
      <w:pPr>
        <w:tabs>
          <w:tab w:val="num" w:pos="567"/>
        </w:tabs>
        <w:ind w:left="851" w:hanging="851"/>
        <w:rPr>
          <w:rFonts w:ascii="Arial" w:hAnsi="Arial"/>
        </w:rPr>
      </w:pPr>
    </w:p>
    <w:p w14:paraId="2F6D02CD" w14:textId="77777777" w:rsidR="00396DA6" w:rsidRDefault="00396DA6" w:rsidP="0005389C">
      <w:pPr>
        <w:jc w:val="both"/>
        <w:rPr>
          <w:rFonts w:ascii="Arial" w:hAnsi="Arial"/>
        </w:rPr>
      </w:pPr>
    </w:p>
    <w:p w14:paraId="04112ECB" w14:textId="5C19379A" w:rsidR="00770A13" w:rsidRDefault="00683EF0" w:rsidP="00E123DB">
      <w:pPr>
        <w:pStyle w:val="ListParagraph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Background</w:t>
      </w:r>
    </w:p>
    <w:p w14:paraId="485556D7" w14:textId="77777777" w:rsidR="00454C1F" w:rsidRDefault="00454C1F" w:rsidP="00454C1F">
      <w:pPr>
        <w:pStyle w:val="ListParagraph"/>
        <w:ind w:left="360"/>
        <w:jc w:val="both"/>
        <w:rPr>
          <w:rFonts w:ascii="Arial" w:hAnsi="Arial"/>
          <w:b/>
        </w:rPr>
      </w:pPr>
    </w:p>
    <w:p w14:paraId="4C838328" w14:textId="77777777" w:rsidR="00E123DB" w:rsidRDefault="00E123DB" w:rsidP="00E123DB">
      <w:pPr>
        <w:spacing w:after="24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</w:r>
      <w:r w:rsidR="00215814" w:rsidRPr="0031546B">
        <w:rPr>
          <w:rFonts w:ascii="Arial" w:hAnsi="Arial"/>
        </w:rPr>
        <w:t>On 23 August 2023 t</w:t>
      </w:r>
      <w:r w:rsidR="00F5579B" w:rsidRPr="0031546B">
        <w:rPr>
          <w:rFonts w:ascii="Arial" w:hAnsi="Arial"/>
        </w:rPr>
        <w:t>he ESFA issued updated guidance</w:t>
      </w:r>
      <w:r w:rsidR="00884602" w:rsidRPr="0031546B">
        <w:rPr>
          <w:rFonts w:ascii="Arial" w:hAnsi="Arial"/>
        </w:rPr>
        <w:t xml:space="preserve"> to local authorities </w:t>
      </w:r>
      <w:r w:rsidR="00F5579B" w:rsidRPr="0031546B">
        <w:rPr>
          <w:rFonts w:ascii="Arial" w:hAnsi="Arial"/>
        </w:rPr>
        <w:t xml:space="preserve">on </w:t>
      </w:r>
      <w:r w:rsidR="00090F86" w:rsidRPr="0031546B">
        <w:rPr>
          <w:rFonts w:ascii="Arial" w:hAnsi="Arial"/>
        </w:rPr>
        <w:t>t</w:t>
      </w:r>
      <w:r w:rsidR="002C02C1" w:rsidRPr="0031546B">
        <w:rPr>
          <w:rFonts w:ascii="Arial" w:hAnsi="Arial"/>
        </w:rPr>
        <w:t>he notional SEN budget for mainstream schools</w:t>
      </w:r>
      <w:r w:rsidR="00215814" w:rsidRPr="0031546B">
        <w:rPr>
          <w:rFonts w:ascii="Arial" w:hAnsi="Arial"/>
        </w:rPr>
        <w:t>.</w:t>
      </w:r>
      <w:r w:rsidR="00090F86" w:rsidRPr="0031546B">
        <w:rPr>
          <w:rFonts w:ascii="Arial" w:hAnsi="Arial"/>
        </w:rPr>
        <w:t xml:space="preserve"> </w:t>
      </w:r>
      <w:r w:rsidR="00581A20" w:rsidRPr="00581A20">
        <w:rPr>
          <w:rFonts w:ascii="Arial" w:hAnsi="Arial"/>
        </w:rPr>
        <w:t>This guidance is primarily for local authorities, to help them comply with the requirement to identify for each mainstream school in their area a notional amount to guide schools in their spending to meet the costs of additional support for the school’s pupils with special educational needs (SEN)</w:t>
      </w:r>
      <w:r w:rsidR="00CB6A0F">
        <w:rPr>
          <w:rFonts w:ascii="Arial" w:hAnsi="Arial"/>
        </w:rPr>
        <w:t xml:space="preserve">. </w:t>
      </w:r>
      <w:r w:rsidR="00CB6A0F" w:rsidRPr="00CB6A0F">
        <w:rPr>
          <w:rFonts w:ascii="Arial" w:hAnsi="Arial"/>
        </w:rPr>
        <w:t>Although this is an indicative amount, it is important that it is sufficient for the reasonable additional costs that may be incurred by schools.</w:t>
      </w:r>
    </w:p>
    <w:p w14:paraId="3B2ECEAE" w14:textId="77777777" w:rsidR="00E123DB" w:rsidRDefault="00E123DB" w:rsidP="00E123DB">
      <w:pPr>
        <w:spacing w:after="24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</w:r>
      <w:r w:rsidR="005B2F00" w:rsidRPr="005B2F00">
        <w:rPr>
          <w:rFonts w:ascii="Arial" w:hAnsi="Arial"/>
        </w:rPr>
        <w:t>The notional SEN budget is not a budget that is separate from a school’s overall budget. It is an identified amount within a maintained school’s delegated budget share or an academy’s general annual grant. It is intended as a guide for a school’s spending decisions, and is neither a target nor a constraint on a school’s duty to use its ‘best endeavours’ to secure special provision for its pupils with SEN.</w:t>
      </w:r>
    </w:p>
    <w:p w14:paraId="41E70DEB" w14:textId="6A91D004" w:rsidR="00805235" w:rsidRDefault="00E123DB" w:rsidP="00E123DB">
      <w:pPr>
        <w:spacing w:after="240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973804" w:rsidRPr="00973804">
        <w:rPr>
          <w:rFonts w:ascii="Arial" w:hAnsi="Arial"/>
        </w:rPr>
        <w:t xml:space="preserve">Mainstream maintained schools and academies (“schools”) </w:t>
      </w:r>
      <w:r w:rsidR="003761B0">
        <w:rPr>
          <w:rFonts w:ascii="Arial" w:hAnsi="Arial"/>
        </w:rPr>
        <w:t>will b</w:t>
      </w:r>
      <w:r w:rsidR="00F64ECF">
        <w:rPr>
          <w:rFonts w:ascii="Arial" w:hAnsi="Arial"/>
        </w:rPr>
        <w:t xml:space="preserve">e </w:t>
      </w:r>
      <w:r w:rsidR="00973804" w:rsidRPr="00973804">
        <w:rPr>
          <w:rFonts w:ascii="Arial" w:hAnsi="Arial"/>
        </w:rPr>
        <w:t xml:space="preserve">notified each year of a clearly identified but notional budget, within their overall </w:t>
      </w:r>
      <w:r w:rsidR="00A667C7">
        <w:rPr>
          <w:rFonts w:ascii="Arial" w:hAnsi="Arial"/>
        </w:rPr>
        <w:t xml:space="preserve">school block </w:t>
      </w:r>
      <w:r w:rsidR="00973804" w:rsidRPr="00973804">
        <w:rPr>
          <w:rFonts w:ascii="Arial" w:hAnsi="Arial"/>
        </w:rPr>
        <w:t>budget allocation, towards the costs of fulfilling their duty to use their ‘best endeavours’ to secure th</w:t>
      </w:r>
      <w:r w:rsidR="003C1E67">
        <w:rPr>
          <w:rFonts w:ascii="Arial" w:hAnsi="Arial"/>
        </w:rPr>
        <w:t>e</w:t>
      </w:r>
      <w:r w:rsidR="00973804" w:rsidRPr="00973804">
        <w:rPr>
          <w:rFonts w:ascii="Arial" w:hAnsi="Arial"/>
        </w:rPr>
        <w:t xml:space="preserve"> special educational provision for their pupils with SEN. </w:t>
      </w:r>
    </w:p>
    <w:p w14:paraId="10532FC8" w14:textId="6C8F111E" w:rsidR="00B240B5" w:rsidRPr="00F84AE4" w:rsidRDefault="005E32A4" w:rsidP="00E123DB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before="300" w:beforeAutospacing="0" w:after="300" w:afterAutospacing="0"/>
        <w:ind w:left="567" w:hanging="567"/>
        <w:rPr>
          <w:rFonts w:ascii="Arial" w:hAnsi="Arial"/>
          <w:b/>
        </w:rPr>
      </w:pPr>
      <w:r w:rsidRPr="005E32A4">
        <w:rPr>
          <w:rFonts w:ascii="Arial" w:hAnsi="Arial"/>
          <w:b/>
        </w:rPr>
        <w:lastRenderedPageBreak/>
        <w:t>Calculating the notional SEN budget</w:t>
      </w:r>
    </w:p>
    <w:p w14:paraId="106F9701" w14:textId="77777777" w:rsidR="00F74E64" w:rsidRDefault="00F74E64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323BCF" w:rsidRPr="00973804">
        <w:rPr>
          <w:rFonts w:ascii="Arial" w:hAnsi="Arial"/>
        </w:rPr>
        <w:t xml:space="preserve">Using funds from the schools block of the dedicated schools grant (DSG), local authorities are responsible for calculating the amount of </w:t>
      </w:r>
      <w:r w:rsidR="0058260D">
        <w:rPr>
          <w:rFonts w:ascii="Arial" w:hAnsi="Arial"/>
        </w:rPr>
        <w:t xml:space="preserve">SEN </w:t>
      </w:r>
      <w:r w:rsidR="00323BCF" w:rsidRPr="00973804">
        <w:rPr>
          <w:rFonts w:ascii="Arial" w:hAnsi="Arial"/>
        </w:rPr>
        <w:t>notional budget using their local mainstream schools funding formula factors.</w:t>
      </w:r>
      <w:r w:rsidR="00323BCF">
        <w:rPr>
          <w:rFonts w:ascii="Arial" w:hAnsi="Arial"/>
        </w:rPr>
        <w:t xml:space="preserve"> </w:t>
      </w:r>
      <w:r w:rsidR="00C11993" w:rsidRPr="001678C7">
        <w:rPr>
          <w:rFonts w:ascii="Arial" w:hAnsi="Arial" w:cs="Arial"/>
          <w:color w:val="0B0C0C"/>
        </w:rPr>
        <w:t>Funding for notional SEN is not a separate formula factor.</w:t>
      </w:r>
    </w:p>
    <w:p w14:paraId="0A9D797A" w14:textId="26C11A3C" w:rsidR="007E0569" w:rsidRDefault="00F74E64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3.2</w:t>
      </w:r>
      <w:r>
        <w:rPr>
          <w:rFonts w:ascii="Arial" w:hAnsi="Arial" w:cs="Arial"/>
          <w:color w:val="0B0C0C"/>
        </w:rPr>
        <w:tab/>
        <w:t>E</w:t>
      </w:r>
      <w:r w:rsidR="00932704">
        <w:rPr>
          <w:rFonts w:ascii="Arial" w:hAnsi="Arial" w:cs="Arial"/>
          <w:color w:val="0B0C0C"/>
        </w:rPr>
        <w:t xml:space="preserve">SFA </w:t>
      </w:r>
      <w:r w:rsidR="007E0569">
        <w:rPr>
          <w:rFonts w:ascii="Arial" w:hAnsi="Arial" w:cs="Arial"/>
          <w:color w:val="0B0C0C"/>
        </w:rPr>
        <w:t>expect the calculation of the notional SEN budget to include:</w:t>
      </w:r>
    </w:p>
    <w:p w14:paraId="5649E927" w14:textId="77777777" w:rsidR="007E0569" w:rsidRDefault="007E0569" w:rsidP="007E056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small part of the basic entitlement funding;</w:t>
      </w:r>
    </w:p>
    <w:p w14:paraId="6C8260F8" w14:textId="49A22938" w:rsidR="007E0569" w:rsidRDefault="007E0569" w:rsidP="007E056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 larger part of deprivation funding, reflecting the higher prevalence of lower-level SEN amongst disadvantaged pupils,</w:t>
      </w:r>
    </w:p>
    <w:p w14:paraId="60CF0832" w14:textId="77777777" w:rsidR="007E0569" w:rsidRDefault="007E0569" w:rsidP="007E056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the majority or whole of the </w:t>
      </w:r>
      <w:bookmarkStart w:id="0" w:name="_Hlk147932678"/>
      <w:r>
        <w:rPr>
          <w:rFonts w:ascii="Arial" w:hAnsi="Arial" w:cs="Arial"/>
          <w:color w:val="0B0C0C"/>
        </w:rPr>
        <w:t xml:space="preserve">low prior attainment factor funding, </w:t>
      </w:r>
      <w:bookmarkEnd w:id="0"/>
      <w:r>
        <w:rPr>
          <w:rFonts w:ascii="Arial" w:hAnsi="Arial" w:cs="Arial"/>
          <w:color w:val="0B0C0C"/>
        </w:rPr>
        <w:t>as this is the best proxy we currently have for pupils with low-cost, high-incidence SEN</w:t>
      </w:r>
    </w:p>
    <w:p w14:paraId="58298FA6" w14:textId="77777777" w:rsidR="005F1A02" w:rsidRDefault="005F1A02" w:rsidP="005F1A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11A1AB90" w14:textId="26A2A1AE" w:rsidR="00276E5D" w:rsidRPr="00276E5D" w:rsidRDefault="00276E5D" w:rsidP="00E123DB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</w:tabs>
        <w:spacing w:before="300" w:beforeAutospacing="0" w:after="300" w:afterAutospacing="0"/>
        <w:ind w:left="567" w:hanging="567"/>
        <w:rPr>
          <w:rFonts w:ascii="Arial" w:hAnsi="Arial"/>
          <w:b/>
        </w:rPr>
      </w:pPr>
      <w:r w:rsidRPr="00276E5D">
        <w:rPr>
          <w:rFonts w:ascii="Arial" w:hAnsi="Arial"/>
          <w:b/>
        </w:rPr>
        <w:t>The 2023/24 notional S</w:t>
      </w:r>
      <w:r w:rsidR="00D772AD">
        <w:rPr>
          <w:rFonts w:ascii="Arial" w:hAnsi="Arial"/>
          <w:b/>
        </w:rPr>
        <w:t>EN</w:t>
      </w:r>
      <w:r w:rsidRPr="00276E5D">
        <w:rPr>
          <w:rFonts w:ascii="Arial" w:hAnsi="Arial"/>
          <w:b/>
        </w:rPr>
        <w:t xml:space="preserve"> budget calculation</w:t>
      </w:r>
    </w:p>
    <w:p w14:paraId="6FE72421" w14:textId="77777777" w:rsidR="00E123DB" w:rsidRDefault="00E123DB" w:rsidP="00E123DB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4.1</w:t>
      </w:r>
      <w:r>
        <w:rPr>
          <w:rFonts w:ascii="Arial" w:hAnsi="Arial" w:cs="Arial"/>
          <w:color w:val="0B0C0C"/>
        </w:rPr>
        <w:tab/>
      </w:r>
      <w:r w:rsidR="000A16C4">
        <w:rPr>
          <w:rFonts w:ascii="Arial" w:hAnsi="Arial" w:cs="Arial"/>
          <w:color w:val="0B0C0C"/>
        </w:rPr>
        <w:t xml:space="preserve">The SEN notional funding calculation for Hillingdon Schools has not been reviewed for several years and the factors and percentages used for </w:t>
      </w:r>
      <w:r w:rsidR="00297409">
        <w:rPr>
          <w:rFonts w:ascii="Arial" w:hAnsi="Arial" w:cs="Arial"/>
          <w:color w:val="0B0C0C"/>
        </w:rPr>
        <w:t xml:space="preserve">the </w:t>
      </w:r>
      <w:r w:rsidR="000A16C4">
        <w:rPr>
          <w:rFonts w:ascii="Arial" w:hAnsi="Arial" w:cs="Arial"/>
          <w:color w:val="0B0C0C"/>
        </w:rPr>
        <w:t>2023/24</w:t>
      </w:r>
      <w:r w:rsidR="00297409">
        <w:rPr>
          <w:rFonts w:ascii="Arial" w:hAnsi="Arial" w:cs="Arial"/>
          <w:color w:val="0B0C0C"/>
        </w:rPr>
        <w:t xml:space="preserve"> budget </w:t>
      </w:r>
      <w:r w:rsidR="002602B4">
        <w:rPr>
          <w:rFonts w:ascii="Arial" w:hAnsi="Arial" w:cs="Arial"/>
          <w:color w:val="0B0C0C"/>
        </w:rPr>
        <w:t xml:space="preserve">bear no </w:t>
      </w:r>
      <w:r w:rsidR="00047E7E">
        <w:rPr>
          <w:rFonts w:ascii="Arial" w:hAnsi="Arial" w:cs="Arial"/>
          <w:color w:val="0B0C0C"/>
        </w:rPr>
        <w:t>resemblance</w:t>
      </w:r>
      <w:r w:rsidR="006571EA">
        <w:rPr>
          <w:rFonts w:ascii="Arial" w:hAnsi="Arial" w:cs="Arial"/>
          <w:color w:val="0B0C0C"/>
        </w:rPr>
        <w:t xml:space="preserve"> to </w:t>
      </w:r>
      <w:r w:rsidR="00107C93">
        <w:rPr>
          <w:rFonts w:ascii="Arial" w:hAnsi="Arial" w:cs="Arial"/>
          <w:color w:val="0B0C0C"/>
        </w:rPr>
        <w:t xml:space="preserve">the </w:t>
      </w:r>
      <w:r w:rsidR="000A16C4">
        <w:rPr>
          <w:rFonts w:ascii="Arial" w:hAnsi="Arial" w:cs="Arial"/>
          <w:color w:val="0B0C0C"/>
        </w:rPr>
        <w:t>ESFA expectations</w:t>
      </w:r>
      <w:r w:rsidR="00047E7E">
        <w:rPr>
          <w:rFonts w:ascii="Arial" w:hAnsi="Arial" w:cs="Arial"/>
          <w:color w:val="0B0C0C"/>
        </w:rPr>
        <w:t xml:space="preserve"> </w:t>
      </w:r>
      <w:r w:rsidR="00D772AD">
        <w:rPr>
          <w:rFonts w:ascii="Arial" w:hAnsi="Arial" w:cs="Arial"/>
          <w:color w:val="0B0C0C"/>
        </w:rPr>
        <w:t xml:space="preserve">listed </w:t>
      </w:r>
      <w:r w:rsidR="00047E7E">
        <w:rPr>
          <w:rFonts w:ascii="Arial" w:hAnsi="Arial" w:cs="Arial"/>
          <w:color w:val="0B0C0C"/>
        </w:rPr>
        <w:t>above</w:t>
      </w:r>
      <w:r w:rsidR="000A16C4">
        <w:rPr>
          <w:rFonts w:ascii="Arial" w:hAnsi="Arial" w:cs="Arial"/>
          <w:color w:val="0B0C0C"/>
        </w:rPr>
        <w:t>.</w:t>
      </w:r>
    </w:p>
    <w:p w14:paraId="5FB6645E" w14:textId="3BD527EA" w:rsidR="00CD4936" w:rsidRDefault="00E123DB" w:rsidP="00E123DB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4.2</w:t>
      </w:r>
      <w:r>
        <w:rPr>
          <w:rFonts w:ascii="Arial" w:hAnsi="Arial" w:cs="Arial"/>
          <w:color w:val="0B0C0C"/>
        </w:rPr>
        <w:tab/>
      </w:r>
      <w:r w:rsidR="002D6D9A">
        <w:rPr>
          <w:rFonts w:ascii="Arial" w:hAnsi="Arial" w:cs="Arial"/>
          <w:color w:val="0B0C0C"/>
        </w:rPr>
        <w:t xml:space="preserve">The </w:t>
      </w:r>
      <w:r w:rsidR="00107C93">
        <w:rPr>
          <w:rFonts w:ascii="Arial" w:hAnsi="Arial" w:cs="Arial"/>
          <w:color w:val="0B0C0C"/>
        </w:rPr>
        <w:t xml:space="preserve">Hillingdon </w:t>
      </w:r>
      <w:r w:rsidR="002D6D9A">
        <w:rPr>
          <w:rFonts w:ascii="Arial" w:hAnsi="Arial" w:cs="Arial"/>
          <w:color w:val="0B0C0C"/>
        </w:rPr>
        <w:t xml:space="preserve">2023/24 calculation is </w:t>
      </w:r>
      <w:r w:rsidR="00CC5860">
        <w:rPr>
          <w:rFonts w:ascii="Arial" w:hAnsi="Arial" w:cs="Arial"/>
          <w:color w:val="0B0C0C"/>
        </w:rPr>
        <w:t>based on</w:t>
      </w:r>
      <w:r w:rsidR="00FE089F">
        <w:rPr>
          <w:rFonts w:ascii="Arial" w:hAnsi="Arial" w:cs="Arial"/>
          <w:color w:val="0B0C0C"/>
        </w:rPr>
        <w:t xml:space="preserve"> </w:t>
      </w:r>
      <w:r w:rsidR="007838B3">
        <w:rPr>
          <w:rFonts w:ascii="Arial" w:hAnsi="Arial" w:cs="Arial"/>
          <w:color w:val="0B0C0C"/>
        </w:rPr>
        <w:t xml:space="preserve">just </w:t>
      </w:r>
      <w:r w:rsidR="00FE089F">
        <w:rPr>
          <w:rFonts w:ascii="Arial" w:hAnsi="Arial" w:cs="Arial"/>
          <w:color w:val="0B0C0C"/>
        </w:rPr>
        <w:t xml:space="preserve">one </w:t>
      </w:r>
      <w:r w:rsidR="00DF5522">
        <w:rPr>
          <w:rFonts w:ascii="Arial" w:hAnsi="Arial" w:cs="Arial"/>
          <w:color w:val="0B0C0C"/>
        </w:rPr>
        <w:t xml:space="preserve">factor </w:t>
      </w:r>
      <w:proofErr w:type="gramStart"/>
      <w:r w:rsidR="00DF5522">
        <w:rPr>
          <w:rFonts w:ascii="Arial" w:hAnsi="Arial" w:cs="Arial"/>
          <w:color w:val="0B0C0C"/>
        </w:rPr>
        <w:t>i.e.</w:t>
      </w:r>
      <w:proofErr w:type="gramEnd"/>
      <w:r w:rsidR="00D772AD">
        <w:rPr>
          <w:rFonts w:ascii="Arial" w:hAnsi="Arial" w:cs="Arial"/>
          <w:color w:val="0B0C0C"/>
        </w:rPr>
        <w:t xml:space="preserve"> </w:t>
      </w:r>
      <w:r w:rsidR="00CC5860">
        <w:rPr>
          <w:rFonts w:ascii="Arial" w:hAnsi="Arial" w:cs="Arial"/>
          <w:color w:val="0B0C0C"/>
        </w:rPr>
        <w:t xml:space="preserve">100% of the </w:t>
      </w:r>
      <w:r w:rsidR="00E43EB7">
        <w:rPr>
          <w:rFonts w:ascii="Arial" w:hAnsi="Arial" w:cs="Arial"/>
          <w:color w:val="0B0C0C"/>
        </w:rPr>
        <w:t>“</w:t>
      </w:r>
      <w:r w:rsidR="00DF5522" w:rsidRPr="00DF5522">
        <w:rPr>
          <w:rFonts w:ascii="Arial" w:hAnsi="Arial" w:cs="Arial"/>
          <w:color w:val="0B0C0C"/>
        </w:rPr>
        <w:t>low prior attainment</w:t>
      </w:r>
      <w:r w:rsidR="00E43EB7">
        <w:rPr>
          <w:rFonts w:ascii="Arial" w:hAnsi="Arial" w:cs="Arial"/>
          <w:color w:val="0B0C0C"/>
        </w:rPr>
        <w:t>”</w:t>
      </w:r>
      <w:r w:rsidR="00DF5522" w:rsidRPr="00DF5522">
        <w:rPr>
          <w:rFonts w:ascii="Arial" w:hAnsi="Arial" w:cs="Arial"/>
          <w:color w:val="0B0C0C"/>
        </w:rPr>
        <w:t xml:space="preserve"> factor funding</w:t>
      </w:r>
      <w:r w:rsidR="00DF5522">
        <w:rPr>
          <w:rFonts w:ascii="Arial" w:hAnsi="Arial" w:cs="Arial"/>
          <w:color w:val="0B0C0C"/>
        </w:rPr>
        <w:t>.</w:t>
      </w:r>
      <w:r w:rsidR="00993D22">
        <w:rPr>
          <w:rFonts w:ascii="Arial" w:hAnsi="Arial" w:cs="Arial"/>
          <w:color w:val="0B0C0C"/>
        </w:rPr>
        <w:t xml:space="preserve"> This resulted in a total </w:t>
      </w:r>
      <w:r w:rsidR="00B76C30">
        <w:rPr>
          <w:rFonts w:ascii="Arial" w:hAnsi="Arial" w:cs="Arial"/>
          <w:color w:val="0B0C0C"/>
        </w:rPr>
        <w:t xml:space="preserve">2023/24 </w:t>
      </w:r>
      <w:r w:rsidR="00993D22">
        <w:rPr>
          <w:rFonts w:ascii="Arial" w:hAnsi="Arial" w:cs="Arial"/>
          <w:color w:val="0B0C0C"/>
        </w:rPr>
        <w:t xml:space="preserve">SEN notional funding figure </w:t>
      </w:r>
      <w:r w:rsidR="00B76C30">
        <w:rPr>
          <w:rFonts w:ascii="Arial" w:hAnsi="Arial" w:cs="Arial"/>
          <w:color w:val="0B0C0C"/>
        </w:rPr>
        <w:t xml:space="preserve">for Hillingdon </w:t>
      </w:r>
      <w:r w:rsidR="00993D22">
        <w:rPr>
          <w:rFonts w:ascii="Arial" w:hAnsi="Arial" w:cs="Arial"/>
          <w:color w:val="0B0C0C"/>
        </w:rPr>
        <w:t xml:space="preserve">of </w:t>
      </w:r>
      <w:r w:rsidR="00CD4936" w:rsidRPr="00CD4936">
        <w:rPr>
          <w:rFonts w:ascii="Arial" w:hAnsi="Arial" w:cs="Arial"/>
          <w:color w:val="0B0C0C"/>
        </w:rPr>
        <w:t>£16,103,762</w:t>
      </w:r>
      <w:r w:rsidR="00B76C30">
        <w:rPr>
          <w:rFonts w:ascii="Arial" w:hAnsi="Arial" w:cs="Arial"/>
          <w:color w:val="0B0C0C"/>
        </w:rPr>
        <w:t xml:space="preserve">.  </w:t>
      </w:r>
    </w:p>
    <w:p w14:paraId="401EF611" w14:textId="77777777" w:rsidR="00FF4A6B" w:rsidRDefault="00FF4A6B" w:rsidP="00CD4936">
      <w:pPr>
        <w:pStyle w:val="NormalWeb"/>
        <w:shd w:val="clear" w:color="auto" w:fill="FFFFFF"/>
        <w:rPr>
          <w:rFonts w:ascii="Arial" w:hAnsi="Arial" w:cs="Arial"/>
          <w:color w:val="0B0C0C"/>
        </w:rPr>
      </w:pPr>
    </w:p>
    <w:p w14:paraId="54572055" w14:textId="39D8B483" w:rsidR="00286377" w:rsidRDefault="00286377" w:rsidP="00E123DB">
      <w:pPr>
        <w:pStyle w:val="ListParagraph"/>
        <w:numPr>
          <w:ilvl w:val="0"/>
          <w:numId w:val="2"/>
        </w:numPr>
        <w:tabs>
          <w:tab w:val="clear" w:pos="360"/>
          <w:tab w:val="num" w:pos="709"/>
        </w:tabs>
        <w:ind w:left="567" w:hanging="567"/>
        <w:rPr>
          <w:rFonts w:ascii="Arial" w:hAnsi="Arial"/>
          <w:b/>
        </w:rPr>
      </w:pPr>
      <w:bookmarkStart w:id="1" w:name="_Hlk147939714"/>
      <w:r w:rsidRPr="00286377">
        <w:rPr>
          <w:rFonts w:ascii="Arial" w:hAnsi="Arial"/>
          <w:b/>
        </w:rPr>
        <w:t>The 202</w:t>
      </w:r>
      <w:r>
        <w:rPr>
          <w:rFonts w:ascii="Arial" w:hAnsi="Arial"/>
          <w:b/>
        </w:rPr>
        <w:t>4</w:t>
      </w:r>
      <w:r w:rsidRPr="00286377">
        <w:rPr>
          <w:rFonts w:ascii="Arial" w:hAnsi="Arial"/>
          <w:b/>
        </w:rPr>
        <w:t>/2</w:t>
      </w:r>
      <w:r>
        <w:rPr>
          <w:rFonts w:ascii="Arial" w:hAnsi="Arial"/>
          <w:b/>
        </w:rPr>
        <w:t>5</w:t>
      </w:r>
      <w:r w:rsidRPr="00286377">
        <w:rPr>
          <w:rFonts w:ascii="Arial" w:hAnsi="Arial"/>
          <w:b/>
        </w:rPr>
        <w:t xml:space="preserve"> notional S</w:t>
      </w:r>
      <w:r>
        <w:rPr>
          <w:rFonts w:ascii="Arial" w:hAnsi="Arial"/>
          <w:b/>
        </w:rPr>
        <w:t>EN</w:t>
      </w:r>
      <w:r w:rsidRPr="00286377">
        <w:rPr>
          <w:rFonts w:ascii="Arial" w:hAnsi="Arial"/>
          <w:b/>
        </w:rPr>
        <w:t xml:space="preserve"> budget calculation</w:t>
      </w:r>
    </w:p>
    <w:bookmarkEnd w:id="1"/>
    <w:p w14:paraId="6853805B" w14:textId="795D8CD8" w:rsidR="00C8291D" w:rsidRDefault="00E123DB" w:rsidP="00E123DB">
      <w:pPr>
        <w:pStyle w:val="NormalWeb"/>
        <w:shd w:val="clear" w:color="auto" w:fill="FFFFFF"/>
        <w:tabs>
          <w:tab w:val="num" w:pos="709"/>
        </w:tabs>
        <w:ind w:left="567" w:hanging="567"/>
        <w:rPr>
          <w:rFonts w:ascii="Arial" w:hAnsi="Arial"/>
          <w:b/>
        </w:rPr>
      </w:pPr>
      <w:r>
        <w:rPr>
          <w:rFonts w:ascii="Arial" w:hAnsi="Arial" w:cs="Arial"/>
          <w:color w:val="0B0C0C"/>
        </w:rPr>
        <w:t>5.1</w:t>
      </w:r>
      <w:r>
        <w:rPr>
          <w:rFonts w:ascii="Arial" w:hAnsi="Arial" w:cs="Arial"/>
          <w:color w:val="0B0C0C"/>
        </w:rPr>
        <w:tab/>
      </w:r>
      <w:r w:rsidR="00F042C2" w:rsidRPr="00F042C2">
        <w:rPr>
          <w:rFonts w:ascii="Arial" w:hAnsi="Arial" w:cs="Arial"/>
          <w:color w:val="0B0C0C"/>
        </w:rPr>
        <w:t>The ESFA guidance on notional SEN Budgets includes examples which base the proportionate contribution of the various formula factors broadly on existing local authority practic</w:t>
      </w:r>
      <w:r w:rsidR="00590AAC">
        <w:rPr>
          <w:rFonts w:ascii="Arial" w:hAnsi="Arial" w:cs="Arial"/>
          <w:color w:val="0B0C0C"/>
        </w:rPr>
        <w:t xml:space="preserve">e and these </w:t>
      </w:r>
      <w:r w:rsidR="00B66DA1">
        <w:rPr>
          <w:rFonts w:ascii="Arial" w:hAnsi="Arial" w:cs="Arial"/>
          <w:color w:val="0B0C0C"/>
        </w:rPr>
        <w:t xml:space="preserve">factors </w:t>
      </w:r>
      <w:r w:rsidR="00590AAC">
        <w:rPr>
          <w:rFonts w:ascii="Arial" w:hAnsi="Arial" w:cs="Arial"/>
          <w:color w:val="0B0C0C"/>
        </w:rPr>
        <w:t>ar</w:t>
      </w:r>
      <w:r w:rsidR="00C8291D">
        <w:rPr>
          <w:rFonts w:ascii="Arial" w:hAnsi="Arial" w:cs="Arial"/>
          <w:color w:val="0B0C0C"/>
        </w:rPr>
        <w:t xml:space="preserve">e </w:t>
      </w:r>
      <w:r w:rsidR="00590AAC">
        <w:rPr>
          <w:rFonts w:ascii="Arial" w:hAnsi="Arial" w:cs="Arial"/>
          <w:color w:val="0B0C0C"/>
        </w:rPr>
        <w:t>summarised in the table below:</w:t>
      </w:r>
    </w:p>
    <w:p w14:paraId="66701CE4" w14:textId="16C09C55" w:rsidR="00C8291D" w:rsidRDefault="00C8291D" w:rsidP="00F74E64">
      <w:pPr>
        <w:spacing w:after="240"/>
        <w:ind w:left="426" w:firstLine="14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Table 1</w:t>
      </w:r>
      <w:r w:rsidRPr="00B44F75">
        <w:rPr>
          <w:rFonts w:ascii="Arial" w:hAnsi="Arial"/>
          <w:b/>
        </w:rPr>
        <w:t xml:space="preserve">: </w:t>
      </w:r>
      <w:r w:rsidR="004A4987">
        <w:rPr>
          <w:rFonts w:ascii="Arial" w:hAnsi="Arial"/>
          <w:b/>
        </w:rPr>
        <w:t xml:space="preserve">DFE worked </w:t>
      </w:r>
      <w:r w:rsidR="002F49B8">
        <w:rPr>
          <w:rFonts w:ascii="Arial" w:hAnsi="Arial"/>
          <w:b/>
        </w:rPr>
        <w:t>example of</w:t>
      </w:r>
      <w:r w:rsidR="004A4987">
        <w:rPr>
          <w:rFonts w:ascii="Arial" w:hAnsi="Arial"/>
          <w:b/>
        </w:rPr>
        <w:t xml:space="preserve"> </w:t>
      </w:r>
      <w:r w:rsidRPr="00B44F75">
        <w:rPr>
          <w:rFonts w:ascii="Arial" w:hAnsi="Arial"/>
          <w:b/>
        </w:rPr>
        <w:t xml:space="preserve">funding allocated to notional </w:t>
      </w:r>
      <w:proofErr w:type="gramStart"/>
      <w:r w:rsidRPr="00B44F75">
        <w:rPr>
          <w:rFonts w:ascii="Arial" w:hAnsi="Arial"/>
          <w:b/>
        </w:rPr>
        <w:t>SEN</w:t>
      </w:r>
      <w:proofErr w:type="gram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08"/>
        <w:gridCol w:w="1536"/>
        <w:gridCol w:w="1870"/>
      </w:tblGrid>
      <w:tr w:rsidR="0045230D" w:rsidRPr="00DB6D1D" w14:paraId="00A0EB90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0D8E1956" w14:textId="449B18C8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b/>
                <w:bCs/>
                <w:color w:val="0B0C0C"/>
              </w:rPr>
            </w:pPr>
            <w:r w:rsidRPr="00DB6D1D">
              <w:rPr>
                <w:rFonts w:ascii="Arial" w:hAnsi="Arial" w:cs="Arial"/>
                <w:b/>
                <w:bCs/>
                <w:color w:val="0B0C0C"/>
              </w:rPr>
              <w:t>Factor</w:t>
            </w:r>
            <w:r w:rsidR="00C8291D">
              <w:rPr>
                <w:rFonts w:ascii="Arial" w:hAnsi="Arial" w:cs="Arial"/>
                <w:b/>
                <w:bCs/>
                <w:color w:val="0B0C0C"/>
              </w:rPr>
              <w:t xml:space="preserve"> </w:t>
            </w:r>
          </w:p>
        </w:tc>
        <w:tc>
          <w:tcPr>
            <w:tcW w:w="1536" w:type="dxa"/>
            <w:noWrap/>
            <w:vAlign w:val="center"/>
            <w:hideMark/>
          </w:tcPr>
          <w:p w14:paraId="1F6EA6C6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b/>
                <w:bCs/>
                <w:color w:val="0B0C0C"/>
              </w:rPr>
            </w:pPr>
            <w:r w:rsidRPr="00DB6D1D">
              <w:rPr>
                <w:rFonts w:ascii="Arial" w:hAnsi="Arial" w:cs="Arial"/>
                <w:b/>
                <w:bCs/>
                <w:color w:val="0B0C0C"/>
              </w:rPr>
              <w:t xml:space="preserve">Primary </w:t>
            </w:r>
          </w:p>
        </w:tc>
        <w:tc>
          <w:tcPr>
            <w:tcW w:w="1870" w:type="dxa"/>
            <w:noWrap/>
            <w:vAlign w:val="center"/>
            <w:hideMark/>
          </w:tcPr>
          <w:p w14:paraId="7300CC0C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b/>
                <w:bCs/>
                <w:color w:val="0B0C0C"/>
              </w:rPr>
            </w:pPr>
            <w:r w:rsidRPr="00DB6D1D">
              <w:rPr>
                <w:rFonts w:ascii="Arial" w:hAnsi="Arial" w:cs="Arial"/>
                <w:b/>
                <w:bCs/>
                <w:color w:val="0B0C0C"/>
              </w:rPr>
              <w:t>Secondary</w:t>
            </w:r>
          </w:p>
        </w:tc>
      </w:tr>
      <w:tr w:rsidR="0045230D" w:rsidRPr="00DB6D1D" w14:paraId="4969DF70" w14:textId="77777777" w:rsidTr="00F74E64">
        <w:trPr>
          <w:trHeight w:val="329"/>
        </w:trPr>
        <w:tc>
          <w:tcPr>
            <w:tcW w:w="3908" w:type="dxa"/>
            <w:noWrap/>
            <w:hideMark/>
          </w:tcPr>
          <w:p w14:paraId="3879A8E3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b/>
                <w:bCs/>
                <w:color w:val="0B0C0C"/>
              </w:rPr>
            </w:pPr>
          </w:p>
        </w:tc>
        <w:tc>
          <w:tcPr>
            <w:tcW w:w="1536" w:type="dxa"/>
            <w:noWrap/>
            <w:hideMark/>
          </w:tcPr>
          <w:p w14:paraId="2E50E170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</w:p>
        </w:tc>
        <w:tc>
          <w:tcPr>
            <w:tcW w:w="1870" w:type="dxa"/>
            <w:noWrap/>
            <w:hideMark/>
          </w:tcPr>
          <w:p w14:paraId="6FE543E0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</w:p>
        </w:tc>
      </w:tr>
      <w:tr w:rsidR="0045230D" w:rsidRPr="00DB6D1D" w14:paraId="438468B6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7DAD9749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Basic Entitlement (AWPU)</w:t>
            </w:r>
          </w:p>
        </w:tc>
        <w:tc>
          <w:tcPr>
            <w:tcW w:w="1536" w:type="dxa"/>
            <w:noWrap/>
            <w:vAlign w:val="center"/>
            <w:hideMark/>
          </w:tcPr>
          <w:p w14:paraId="0791D64A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3.6%</w:t>
            </w:r>
          </w:p>
        </w:tc>
        <w:tc>
          <w:tcPr>
            <w:tcW w:w="1870" w:type="dxa"/>
            <w:noWrap/>
            <w:vAlign w:val="center"/>
            <w:hideMark/>
          </w:tcPr>
          <w:p w14:paraId="00D697A6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2.3%</w:t>
            </w:r>
          </w:p>
        </w:tc>
      </w:tr>
      <w:tr w:rsidR="0045230D" w:rsidRPr="00DB6D1D" w14:paraId="54365C5C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49B1EACE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Deprivation (FSM6 and IDACI)</w:t>
            </w:r>
          </w:p>
        </w:tc>
        <w:tc>
          <w:tcPr>
            <w:tcW w:w="1536" w:type="dxa"/>
            <w:noWrap/>
            <w:vAlign w:val="center"/>
            <w:hideMark/>
          </w:tcPr>
          <w:p w14:paraId="4989BA3A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45.0%</w:t>
            </w:r>
          </w:p>
        </w:tc>
        <w:tc>
          <w:tcPr>
            <w:tcW w:w="1870" w:type="dxa"/>
            <w:noWrap/>
            <w:vAlign w:val="center"/>
            <w:hideMark/>
          </w:tcPr>
          <w:p w14:paraId="43BA114C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34.0%</w:t>
            </w:r>
          </w:p>
        </w:tc>
      </w:tr>
      <w:tr w:rsidR="0045230D" w:rsidRPr="00DB6D1D" w14:paraId="37575237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448227C3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Prior attainment</w:t>
            </w:r>
          </w:p>
        </w:tc>
        <w:tc>
          <w:tcPr>
            <w:tcW w:w="1536" w:type="dxa"/>
            <w:noWrap/>
            <w:vAlign w:val="center"/>
            <w:hideMark/>
          </w:tcPr>
          <w:p w14:paraId="503C44B9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94.0%</w:t>
            </w:r>
          </w:p>
        </w:tc>
        <w:tc>
          <w:tcPr>
            <w:tcW w:w="1870" w:type="dxa"/>
            <w:noWrap/>
            <w:vAlign w:val="center"/>
            <w:hideMark/>
          </w:tcPr>
          <w:p w14:paraId="332541BA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81.0%</w:t>
            </w:r>
          </w:p>
        </w:tc>
      </w:tr>
      <w:tr w:rsidR="0045230D" w:rsidRPr="00DB6D1D" w14:paraId="58D6FCC1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2BF9D30F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Mobility</w:t>
            </w:r>
          </w:p>
        </w:tc>
        <w:tc>
          <w:tcPr>
            <w:tcW w:w="1536" w:type="dxa"/>
            <w:noWrap/>
            <w:vAlign w:val="center"/>
            <w:hideMark/>
          </w:tcPr>
          <w:p w14:paraId="2A22C071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18.0%</w:t>
            </w:r>
          </w:p>
        </w:tc>
        <w:tc>
          <w:tcPr>
            <w:tcW w:w="1870" w:type="dxa"/>
            <w:noWrap/>
            <w:vAlign w:val="center"/>
            <w:hideMark/>
          </w:tcPr>
          <w:p w14:paraId="123D684D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15.0%</w:t>
            </w:r>
          </w:p>
        </w:tc>
      </w:tr>
      <w:tr w:rsidR="0045230D" w:rsidRPr="00DB6D1D" w14:paraId="5A0F6FC8" w14:textId="77777777" w:rsidTr="00F74E64">
        <w:trPr>
          <w:trHeight w:val="329"/>
        </w:trPr>
        <w:tc>
          <w:tcPr>
            <w:tcW w:w="3908" w:type="dxa"/>
            <w:noWrap/>
            <w:vAlign w:val="center"/>
            <w:hideMark/>
          </w:tcPr>
          <w:p w14:paraId="4AAB6D73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Lump sum</w:t>
            </w:r>
          </w:p>
        </w:tc>
        <w:tc>
          <w:tcPr>
            <w:tcW w:w="1536" w:type="dxa"/>
            <w:noWrap/>
            <w:vAlign w:val="center"/>
            <w:hideMark/>
          </w:tcPr>
          <w:p w14:paraId="2D92BFDA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3.7%</w:t>
            </w:r>
          </w:p>
        </w:tc>
        <w:tc>
          <w:tcPr>
            <w:tcW w:w="1870" w:type="dxa"/>
            <w:noWrap/>
            <w:vAlign w:val="center"/>
            <w:hideMark/>
          </w:tcPr>
          <w:p w14:paraId="71D6D753" w14:textId="77777777" w:rsidR="00DB6D1D" w:rsidRPr="00DB6D1D" w:rsidRDefault="00DB6D1D" w:rsidP="006C252B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B6D1D">
              <w:rPr>
                <w:rFonts w:ascii="Arial" w:hAnsi="Arial" w:cs="Arial"/>
                <w:color w:val="0B0C0C"/>
              </w:rPr>
              <w:t>1.6%</w:t>
            </w:r>
          </w:p>
        </w:tc>
      </w:tr>
    </w:tbl>
    <w:p w14:paraId="731BC8A2" w14:textId="77777777" w:rsidR="00194E51" w:rsidRDefault="00194E51" w:rsidP="006C252B">
      <w:pPr>
        <w:pStyle w:val="NormalWeb"/>
        <w:shd w:val="clear" w:color="auto" w:fill="FFFFFF"/>
        <w:ind w:left="426"/>
        <w:rPr>
          <w:rFonts w:ascii="Arial" w:hAnsi="Arial" w:cs="Arial"/>
          <w:color w:val="0B0C0C"/>
        </w:rPr>
      </w:pPr>
    </w:p>
    <w:p w14:paraId="77D8BFD1" w14:textId="77777777" w:rsidR="00F74E64" w:rsidRDefault="00F74E64" w:rsidP="006C252B">
      <w:pPr>
        <w:pStyle w:val="NormalWeb"/>
        <w:shd w:val="clear" w:color="auto" w:fill="FFFFFF"/>
        <w:ind w:left="426"/>
        <w:rPr>
          <w:rFonts w:ascii="Arial" w:hAnsi="Arial" w:cs="Arial"/>
          <w:color w:val="0B0C0C"/>
        </w:rPr>
      </w:pPr>
    </w:p>
    <w:p w14:paraId="5D54DE18" w14:textId="59182F69" w:rsidR="005B32B4" w:rsidRDefault="00F74E64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5.2</w:t>
      </w:r>
      <w:r>
        <w:rPr>
          <w:rFonts w:ascii="Arial" w:hAnsi="Arial" w:cs="Arial"/>
          <w:color w:val="0B0C0C"/>
        </w:rPr>
        <w:tab/>
      </w:r>
      <w:r w:rsidR="00C46620">
        <w:rPr>
          <w:rFonts w:ascii="Arial" w:hAnsi="Arial" w:cs="Arial"/>
          <w:color w:val="0B0C0C"/>
        </w:rPr>
        <w:t xml:space="preserve">ESFA have </w:t>
      </w:r>
      <w:r w:rsidR="007522FF">
        <w:rPr>
          <w:rFonts w:ascii="Arial" w:hAnsi="Arial" w:cs="Arial"/>
          <w:color w:val="0B0C0C"/>
        </w:rPr>
        <w:t xml:space="preserve">also </w:t>
      </w:r>
      <w:r w:rsidR="00665FCB">
        <w:rPr>
          <w:rFonts w:ascii="Arial" w:hAnsi="Arial" w:cs="Arial"/>
          <w:color w:val="0B0C0C"/>
        </w:rPr>
        <w:t xml:space="preserve">published a </w:t>
      </w:r>
      <w:r w:rsidR="008D7998">
        <w:rPr>
          <w:rFonts w:ascii="Arial" w:hAnsi="Arial" w:cs="Arial"/>
          <w:color w:val="0B0C0C"/>
        </w:rPr>
        <w:t xml:space="preserve">chart </w:t>
      </w:r>
      <w:r w:rsidR="002C6D48">
        <w:rPr>
          <w:rFonts w:ascii="Arial" w:hAnsi="Arial" w:cs="Arial"/>
          <w:color w:val="0B0C0C"/>
        </w:rPr>
        <w:t xml:space="preserve">which shows </w:t>
      </w:r>
      <w:r w:rsidR="007A2E9D" w:rsidRPr="007A2E9D">
        <w:rPr>
          <w:rFonts w:ascii="Arial" w:hAnsi="Arial" w:cs="Arial"/>
          <w:color w:val="0B0C0C"/>
        </w:rPr>
        <w:t>comparisons with other local authorities’ calculations</w:t>
      </w:r>
      <w:r>
        <w:rPr>
          <w:rFonts w:ascii="Arial" w:hAnsi="Arial" w:cs="Arial"/>
          <w:color w:val="0B0C0C"/>
        </w:rPr>
        <w:t>,</w:t>
      </w:r>
      <w:r w:rsidR="00464DD7">
        <w:rPr>
          <w:rFonts w:ascii="Arial" w:hAnsi="Arial" w:cs="Arial"/>
          <w:color w:val="0B0C0C"/>
        </w:rPr>
        <w:t xml:space="preserve"> </w:t>
      </w:r>
      <w:r w:rsidR="00704641">
        <w:rPr>
          <w:rFonts w:ascii="Arial" w:hAnsi="Arial" w:cs="Arial"/>
          <w:color w:val="0B0C0C"/>
        </w:rPr>
        <w:t>and th</w:t>
      </w:r>
      <w:r w:rsidR="00464DD7">
        <w:rPr>
          <w:rFonts w:ascii="Arial" w:hAnsi="Arial" w:cs="Arial"/>
          <w:color w:val="0B0C0C"/>
        </w:rPr>
        <w:t xml:space="preserve">is has been </w:t>
      </w:r>
      <w:r w:rsidR="00704641">
        <w:rPr>
          <w:rFonts w:ascii="Arial" w:hAnsi="Arial" w:cs="Arial"/>
          <w:color w:val="0B0C0C"/>
        </w:rPr>
        <w:t xml:space="preserve">included as Figure 1 </w:t>
      </w:r>
      <w:r w:rsidR="007522FF">
        <w:rPr>
          <w:rFonts w:ascii="Arial" w:hAnsi="Arial" w:cs="Arial"/>
          <w:color w:val="0B0C0C"/>
        </w:rPr>
        <w:t>below. Th</w:t>
      </w:r>
      <w:r w:rsidR="008D7998">
        <w:rPr>
          <w:rFonts w:ascii="Arial" w:hAnsi="Arial" w:cs="Arial"/>
          <w:color w:val="0B0C0C"/>
        </w:rPr>
        <w:t xml:space="preserve">e chart </w:t>
      </w:r>
      <w:r w:rsidR="001678C7" w:rsidRPr="001678C7">
        <w:rPr>
          <w:rFonts w:ascii="Arial" w:hAnsi="Arial" w:cs="Arial"/>
          <w:color w:val="0B0C0C"/>
        </w:rPr>
        <w:t xml:space="preserve">shows how, at overall local authority level, the notional SEN budget in 2022 to 2023 varies as a percentage of the total schools block formula allocation. The </w:t>
      </w:r>
      <w:r w:rsidR="00B71394">
        <w:rPr>
          <w:rFonts w:ascii="Arial" w:hAnsi="Arial" w:cs="Arial"/>
          <w:color w:val="0B0C0C"/>
        </w:rPr>
        <w:t xml:space="preserve">average </w:t>
      </w:r>
      <w:r w:rsidR="001678C7" w:rsidRPr="001678C7">
        <w:rPr>
          <w:rFonts w:ascii="Arial" w:hAnsi="Arial" w:cs="Arial"/>
          <w:color w:val="0B0C0C"/>
        </w:rPr>
        <w:t xml:space="preserve">notional SEN allocation is 10.8%. </w:t>
      </w:r>
    </w:p>
    <w:p w14:paraId="4FC07059" w14:textId="56305245" w:rsidR="006B2056" w:rsidRDefault="00B44F75" w:rsidP="00E123DB">
      <w:pPr>
        <w:spacing w:after="240"/>
        <w:ind w:left="567"/>
        <w:jc w:val="both"/>
        <w:rPr>
          <w:rFonts w:ascii="Arial" w:hAnsi="Arial"/>
          <w:b/>
        </w:rPr>
      </w:pPr>
      <w:r w:rsidRPr="00B44F75">
        <w:rPr>
          <w:rFonts w:ascii="Arial" w:hAnsi="Arial"/>
          <w:b/>
        </w:rPr>
        <w:t xml:space="preserve">Figure </w:t>
      </w:r>
      <w:r w:rsidR="00C8291D">
        <w:rPr>
          <w:rFonts w:ascii="Arial" w:hAnsi="Arial"/>
          <w:b/>
        </w:rPr>
        <w:t>1</w:t>
      </w:r>
      <w:r w:rsidRPr="00B44F75">
        <w:rPr>
          <w:rFonts w:ascii="Arial" w:hAnsi="Arial"/>
          <w:b/>
        </w:rPr>
        <w:t>: percentage of funding allocated to notional SEN</w:t>
      </w:r>
    </w:p>
    <w:p w14:paraId="56109592" w14:textId="007CE6DC" w:rsidR="009D3F91" w:rsidRDefault="009D3F91" w:rsidP="003E1346">
      <w:pPr>
        <w:spacing w:after="240"/>
        <w:jc w:val="both"/>
        <w:rPr>
          <w:rFonts w:ascii="Arial" w:hAnsi="Arial"/>
          <w:b/>
        </w:rPr>
      </w:pPr>
      <w:r w:rsidRPr="009D3F91">
        <w:rPr>
          <w:rFonts w:ascii="Arial" w:hAnsi="Arial"/>
          <w:b/>
          <w:noProof/>
        </w:rPr>
        <w:drawing>
          <wp:inline distT="0" distB="0" distL="0" distR="0" wp14:anchorId="4DEA53E2" wp14:editId="67C58C55">
            <wp:extent cx="5181600" cy="4237495"/>
            <wp:effectExtent l="0" t="0" r="0" b="0"/>
            <wp:docPr id="869657046" name="Picture 1" descr="A graph of numbers and a number of percent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57046" name="Picture 1" descr="A graph of numbers and a number of percentag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6948" cy="427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B323" w14:textId="77777777" w:rsidR="00414015" w:rsidRDefault="00414015" w:rsidP="00AF0D4E">
      <w:pPr>
        <w:pStyle w:val="NormalWeb"/>
        <w:shd w:val="clear" w:color="auto" w:fill="FFFFFF"/>
        <w:ind w:left="426"/>
        <w:rPr>
          <w:rFonts w:ascii="Arial" w:hAnsi="Arial" w:cs="Arial"/>
          <w:color w:val="0B0C0C"/>
        </w:rPr>
      </w:pPr>
    </w:p>
    <w:p w14:paraId="332C4390" w14:textId="77777777" w:rsidR="00F74E64" w:rsidRDefault="00F74E64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5.3 </w:t>
      </w:r>
      <w:r>
        <w:rPr>
          <w:rFonts w:ascii="Arial" w:hAnsi="Arial" w:cs="Arial"/>
          <w:color w:val="0B0C0C"/>
        </w:rPr>
        <w:tab/>
      </w:r>
      <w:r w:rsidR="00194E51" w:rsidRPr="006466BC">
        <w:rPr>
          <w:rFonts w:ascii="Arial" w:hAnsi="Arial" w:cs="Arial"/>
          <w:color w:val="0B0C0C"/>
        </w:rPr>
        <w:t xml:space="preserve">The Council has </w:t>
      </w:r>
      <w:r w:rsidR="00D26674" w:rsidRPr="006466BC">
        <w:rPr>
          <w:rFonts w:ascii="Arial" w:hAnsi="Arial" w:cs="Arial"/>
          <w:color w:val="0B0C0C"/>
        </w:rPr>
        <w:t>calculated th</w:t>
      </w:r>
      <w:r w:rsidR="00DA08F1" w:rsidRPr="006466BC">
        <w:rPr>
          <w:rFonts w:ascii="Arial" w:hAnsi="Arial" w:cs="Arial"/>
          <w:color w:val="0B0C0C"/>
        </w:rPr>
        <w:t xml:space="preserve">at if the </w:t>
      </w:r>
      <w:r w:rsidR="009021F2" w:rsidRPr="006466BC">
        <w:rPr>
          <w:rFonts w:ascii="Arial" w:hAnsi="Arial" w:cs="Arial"/>
          <w:color w:val="0B0C0C"/>
        </w:rPr>
        <w:t xml:space="preserve">ESFA example factors in Table 1 </w:t>
      </w:r>
      <w:r w:rsidR="002F7303" w:rsidRPr="006466BC">
        <w:rPr>
          <w:rFonts w:ascii="Arial" w:hAnsi="Arial" w:cs="Arial"/>
          <w:color w:val="0B0C0C"/>
        </w:rPr>
        <w:t xml:space="preserve">had been used </w:t>
      </w:r>
      <w:r w:rsidR="00F6399C" w:rsidRPr="006466BC">
        <w:rPr>
          <w:rFonts w:ascii="Arial" w:hAnsi="Arial" w:cs="Arial"/>
          <w:color w:val="0B0C0C"/>
        </w:rPr>
        <w:t>for the 2023/24 SEN notional budget (</w:t>
      </w:r>
      <w:r w:rsidR="00E33952" w:rsidRPr="006466BC">
        <w:rPr>
          <w:rFonts w:ascii="Arial" w:hAnsi="Arial" w:cs="Arial"/>
          <w:color w:val="0B0C0C"/>
        </w:rPr>
        <w:t xml:space="preserve">rather than the </w:t>
      </w:r>
      <w:r w:rsidR="002F7303" w:rsidRPr="006466BC">
        <w:rPr>
          <w:rFonts w:ascii="Arial" w:hAnsi="Arial" w:cs="Arial"/>
          <w:color w:val="0B0C0C"/>
        </w:rPr>
        <w:t xml:space="preserve">single </w:t>
      </w:r>
      <w:r w:rsidR="00E43EB7" w:rsidRPr="006466BC">
        <w:rPr>
          <w:rFonts w:ascii="Arial" w:hAnsi="Arial" w:cs="Arial"/>
          <w:color w:val="0B0C0C"/>
        </w:rPr>
        <w:t xml:space="preserve">“low prior attainment” </w:t>
      </w:r>
      <w:r w:rsidR="002F7303" w:rsidRPr="006466BC">
        <w:rPr>
          <w:rFonts w:ascii="Arial" w:hAnsi="Arial" w:cs="Arial"/>
          <w:color w:val="0B0C0C"/>
        </w:rPr>
        <w:t>factor</w:t>
      </w:r>
      <w:r w:rsidR="001A0674" w:rsidRPr="006466BC">
        <w:rPr>
          <w:rFonts w:ascii="Arial" w:hAnsi="Arial" w:cs="Arial"/>
          <w:color w:val="0B0C0C"/>
        </w:rPr>
        <w:t xml:space="preserve"> </w:t>
      </w:r>
      <w:r w:rsidR="002F7303" w:rsidRPr="006466BC">
        <w:rPr>
          <w:rFonts w:ascii="Arial" w:hAnsi="Arial" w:cs="Arial"/>
          <w:color w:val="0B0C0C"/>
        </w:rPr>
        <w:t>that was</w:t>
      </w:r>
      <w:r w:rsidR="00F6399C" w:rsidRPr="006466BC">
        <w:rPr>
          <w:rFonts w:ascii="Arial" w:hAnsi="Arial" w:cs="Arial"/>
          <w:color w:val="0B0C0C"/>
        </w:rPr>
        <w:t xml:space="preserve"> </w:t>
      </w:r>
      <w:proofErr w:type="gramStart"/>
      <w:r w:rsidR="00F6399C" w:rsidRPr="006466BC">
        <w:rPr>
          <w:rFonts w:ascii="Arial" w:hAnsi="Arial" w:cs="Arial"/>
          <w:color w:val="0B0C0C"/>
        </w:rPr>
        <w:t xml:space="preserve">actually </w:t>
      </w:r>
      <w:r w:rsidR="002F7303" w:rsidRPr="006466BC">
        <w:rPr>
          <w:rFonts w:ascii="Arial" w:hAnsi="Arial" w:cs="Arial"/>
          <w:color w:val="0B0C0C"/>
        </w:rPr>
        <w:t>used</w:t>
      </w:r>
      <w:proofErr w:type="gramEnd"/>
      <w:r w:rsidR="00F6399C" w:rsidRPr="006466BC">
        <w:rPr>
          <w:rFonts w:ascii="Arial" w:hAnsi="Arial" w:cs="Arial"/>
          <w:color w:val="0B0C0C"/>
        </w:rPr>
        <w:t>)</w:t>
      </w:r>
      <w:r w:rsidR="002F7303" w:rsidRPr="006466BC">
        <w:rPr>
          <w:rFonts w:ascii="Arial" w:hAnsi="Arial" w:cs="Arial"/>
          <w:color w:val="0B0C0C"/>
        </w:rPr>
        <w:t xml:space="preserve"> the </w:t>
      </w:r>
      <w:r w:rsidR="001A0674" w:rsidRPr="006466BC">
        <w:rPr>
          <w:rFonts w:ascii="Arial" w:hAnsi="Arial" w:cs="Arial"/>
          <w:color w:val="0B0C0C"/>
        </w:rPr>
        <w:t>total SEN notional funding</w:t>
      </w:r>
      <w:r w:rsidR="00F6399C" w:rsidRPr="006466BC">
        <w:rPr>
          <w:rFonts w:ascii="Arial" w:hAnsi="Arial" w:cs="Arial"/>
          <w:color w:val="0B0C0C"/>
        </w:rPr>
        <w:t xml:space="preserve"> for </w:t>
      </w:r>
      <w:r w:rsidR="00814CE4" w:rsidRPr="006466BC">
        <w:rPr>
          <w:rFonts w:ascii="Arial" w:hAnsi="Arial" w:cs="Arial"/>
          <w:color w:val="0B0C0C"/>
        </w:rPr>
        <w:t xml:space="preserve">2023/24 </w:t>
      </w:r>
      <w:r w:rsidR="001A0674" w:rsidRPr="006466BC">
        <w:rPr>
          <w:rFonts w:ascii="Arial" w:hAnsi="Arial" w:cs="Arial"/>
          <w:color w:val="0B0C0C"/>
        </w:rPr>
        <w:t>would have been £</w:t>
      </w:r>
      <w:r w:rsidR="00F14697" w:rsidRPr="006466BC">
        <w:rPr>
          <w:rFonts w:ascii="Arial" w:hAnsi="Arial" w:cs="Arial"/>
          <w:color w:val="0B0C0C"/>
        </w:rPr>
        <w:t>28.6m</w:t>
      </w:r>
      <w:r w:rsidR="00814CE4" w:rsidRPr="006466BC">
        <w:rPr>
          <w:rFonts w:ascii="Arial" w:hAnsi="Arial" w:cs="Arial"/>
          <w:color w:val="0B0C0C"/>
        </w:rPr>
        <w:t xml:space="preserve"> (</w:t>
      </w:r>
      <w:r w:rsidR="007903CB" w:rsidRPr="006466BC">
        <w:rPr>
          <w:rFonts w:ascii="Arial" w:hAnsi="Arial" w:cs="Arial"/>
          <w:color w:val="0B0C0C"/>
        </w:rPr>
        <w:t>10.</w:t>
      </w:r>
      <w:r w:rsidR="00C20517">
        <w:rPr>
          <w:rFonts w:ascii="Arial" w:hAnsi="Arial" w:cs="Arial"/>
          <w:color w:val="0B0C0C"/>
        </w:rPr>
        <w:t>8</w:t>
      </w:r>
      <w:r w:rsidR="007903CB" w:rsidRPr="006466BC">
        <w:rPr>
          <w:rFonts w:ascii="Arial" w:hAnsi="Arial" w:cs="Arial"/>
          <w:color w:val="0B0C0C"/>
        </w:rPr>
        <w:t>%</w:t>
      </w:r>
      <w:r w:rsidR="00AC472E" w:rsidRPr="006466BC">
        <w:rPr>
          <w:rFonts w:ascii="Arial" w:hAnsi="Arial" w:cs="Arial"/>
          <w:color w:val="0B0C0C"/>
        </w:rPr>
        <w:t xml:space="preserve"> </w:t>
      </w:r>
      <w:r w:rsidR="007903CB" w:rsidRPr="006466BC">
        <w:rPr>
          <w:rFonts w:ascii="Arial" w:hAnsi="Arial" w:cs="Arial"/>
          <w:color w:val="0B0C0C"/>
        </w:rPr>
        <w:t>of the total schools block formula allocation</w:t>
      </w:r>
      <w:r w:rsidR="00D13154">
        <w:rPr>
          <w:rFonts w:ascii="Arial" w:hAnsi="Arial" w:cs="Arial"/>
          <w:color w:val="0B0C0C"/>
        </w:rPr>
        <w:t xml:space="preserve">, </w:t>
      </w:r>
      <w:r w:rsidR="00EA7432">
        <w:rPr>
          <w:rFonts w:ascii="Arial" w:hAnsi="Arial" w:cs="Arial"/>
          <w:color w:val="0B0C0C"/>
        </w:rPr>
        <w:t xml:space="preserve">which is the same </w:t>
      </w:r>
      <w:r w:rsidR="0086636C">
        <w:rPr>
          <w:rFonts w:ascii="Arial" w:hAnsi="Arial" w:cs="Arial"/>
          <w:color w:val="0B0C0C"/>
        </w:rPr>
        <w:t xml:space="preserve">percentage </w:t>
      </w:r>
      <w:r w:rsidR="00EA7432">
        <w:rPr>
          <w:rFonts w:ascii="Arial" w:hAnsi="Arial" w:cs="Arial"/>
          <w:color w:val="0B0C0C"/>
        </w:rPr>
        <w:t xml:space="preserve">as the </w:t>
      </w:r>
      <w:r w:rsidR="00004A32">
        <w:rPr>
          <w:rFonts w:ascii="Arial" w:hAnsi="Arial" w:cs="Arial"/>
          <w:color w:val="0B0C0C"/>
        </w:rPr>
        <w:t>national average</w:t>
      </w:r>
      <w:r w:rsidR="00DA25FC">
        <w:rPr>
          <w:rFonts w:ascii="Arial" w:hAnsi="Arial" w:cs="Arial"/>
          <w:color w:val="0B0C0C"/>
        </w:rPr>
        <w:t>).</w:t>
      </w:r>
    </w:p>
    <w:p w14:paraId="1D21F345" w14:textId="2B389A6A" w:rsidR="004C2B12" w:rsidRDefault="00F74E64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5.4</w:t>
      </w:r>
      <w:r>
        <w:rPr>
          <w:rFonts w:ascii="Arial" w:hAnsi="Arial" w:cs="Arial"/>
          <w:color w:val="0B0C0C"/>
        </w:rPr>
        <w:tab/>
      </w:r>
      <w:r w:rsidR="000E6DB2" w:rsidRPr="000E6DB2">
        <w:rPr>
          <w:rFonts w:ascii="Arial" w:hAnsi="Arial" w:cs="Arial"/>
          <w:color w:val="0B0C0C"/>
        </w:rPr>
        <w:t xml:space="preserve">The Council is therefore proposing to adopt the factors and percentages in Table 1 </w:t>
      </w:r>
      <w:proofErr w:type="gramStart"/>
      <w:r w:rsidR="000E6DB2" w:rsidRPr="000E6DB2">
        <w:rPr>
          <w:rFonts w:ascii="Arial" w:hAnsi="Arial" w:cs="Arial"/>
          <w:color w:val="0B0C0C"/>
        </w:rPr>
        <w:t>in order to</w:t>
      </w:r>
      <w:proofErr w:type="gramEnd"/>
      <w:r w:rsidR="000E6DB2" w:rsidRPr="000E6DB2">
        <w:rPr>
          <w:rFonts w:ascii="Arial" w:hAnsi="Arial" w:cs="Arial"/>
          <w:color w:val="0B0C0C"/>
        </w:rPr>
        <w:t xml:space="preserve"> set the 2024/25 SEN notional budget</w:t>
      </w:r>
      <w:r w:rsidR="00FC7EFC">
        <w:rPr>
          <w:rFonts w:ascii="Arial" w:hAnsi="Arial" w:cs="Arial"/>
          <w:color w:val="0B0C0C"/>
        </w:rPr>
        <w:t>,</w:t>
      </w:r>
      <w:r w:rsidR="000E6DB2" w:rsidRPr="000E6DB2">
        <w:rPr>
          <w:rFonts w:ascii="Arial" w:hAnsi="Arial" w:cs="Arial"/>
          <w:color w:val="0B0C0C"/>
        </w:rPr>
        <w:t xml:space="preserve"> as this aligns with ESFA expectations</w:t>
      </w:r>
      <w:r w:rsidR="00E37525">
        <w:rPr>
          <w:rFonts w:ascii="Arial" w:hAnsi="Arial" w:cs="Arial"/>
          <w:color w:val="0B0C0C"/>
        </w:rPr>
        <w:t xml:space="preserve"> and with the national average</w:t>
      </w:r>
      <w:r w:rsidR="00D13154">
        <w:rPr>
          <w:rFonts w:ascii="Arial" w:hAnsi="Arial" w:cs="Arial"/>
          <w:color w:val="0B0C0C"/>
        </w:rPr>
        <w:t xml:space="preserve"> </w:t>
      </w:r>
      <w:r w:rsidR="00D13154" w:rsidRPr="00D13154">
        <w:rPr>
          <w:rFonts w:ascii="Arial" w:hAnsi="Arial" w:cs="Arial"/>
          <w:color w:val="0B0C0C"/>
        </w:rPr>
        <w:t xml:space="preserve">of the </w:t>
      </w:r>
      <w:r w:rsidR="00025AD6" w:rsidRPr="00193D59">
        <w:rPr>
          <w:rFonts w:ascii="Arial" w:hAnsi="Arial" w:cs="Arial"/>
          <w:color w:val="0B0C0C"/>
        </w:rPr>
        <w:t xml:space="preserve">percentage of </w:t>
      </w:r>
      <w:r w:rsidR="00D13154" w:rsidRPr="00D13154">
        <w:rPr>
          <w:rFonts w:ascii="Arial" w:hAnsi="Arial" w:cs="Arial"/>
          <w:color w:val="0B0C0C"/>
        </w:rPr>
        <w:t>total schools block formula a</w:t>
      </w:r>
      <w:r w:rsidR="003F3C00">
        <w:rPr>
          <w:rFonts w:ascii="Arial" w:hAnsi="Arial" w:cs="Arial"/>
          <w:color w:val="0B0C0C"/>
        </w:rPr>
        <w:t xml:space="preserve">llocation that is </w:t>
      </w:r>
      <w:r w:rsidR="00193D59" w:rsidRPr="00193D59">
        <w:rPr>
          <w:rFonts w:ascii="Arial" w:hAnsi="Arial" w:cs="Arial"/>
          <w:color w:val="0B0C0C"/>
        </w:rPr>
        <w:t>allocated to notional SEN</w:t>
      </w:r>
      <w:r w:rsidR="003F3C00">
        <w:rPr>
          <w:rFonts w:ascii="Arial" w:hAnsi="Arial" w:cs="Arial"/>
          <w:color w:val="0B0C0C"/>
        </w:rPr>
        <w:t>.</w:t>
      </w:r>
    </w:p>
    <w:p w14:paraId="06849C92" w14:textId="77777777" w:rsidR="0082516E" w:rsidRDefault="0082516E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</w:p>
    <w:p w14:paraId="32F63CB6" w14:textId="77777777" w:rsidR="00C045CF" w:rsidRDefault="00C045CF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</w:p>
    <w:p w14:paraId="0C9D94E2" w14:textId="77777777" w:rsidR="00F32E33" w:rsidRDefault="00F32E33" w:rsidP="00F74E64">
      <w:pPr>
        <w:pStyle w:val="NormalWeb"/>
        <w:shd w:val="clear" w:color="auto" w:fill="FFFFFF"/>
        <w:ind w:left="567" w:hanging="567"/>
        <w:rPr>
          <w:rFonts w:ascii="Arial" w:hAnsi="Arial" w:cs="Arial"/>
          <w:color w:val="0B0C0C"/>
        </w:rPr>
      </w:pPr>
    </w:p>
    <w:p w14:paraId="14C2E674" w14:textId="0E4E11DC" w:rsidR="004C2B12" w:rsidRPr="004C2B12" w:rsidRDefault="00FC7EFC" w:rsidP="00F74E64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Consultation on the p</w:t>
      </w:r>
      <w:r w:rsidR="004C2B12">
        <w:rPr>
          <w:rFonts w:ascii="Arial" w:hAnsi="Arial"/>
          <w:b/>
        </w:rPr>
        <w:t xml:space="preserve">roposed </w:t>
      </w:r>
      <w:r w:rsidR="004C2B12" w:rsidRPr="004C2B12">
        <w:rPr>
          <w:rFonts w:ascii="Arial" w:hAnsi="Arial"/>
          <w:b/>
        </w:rPr>
        <w:t>2024/25 notional SEN budget calculation</w:t>
      </w:r>
    </w:p>
    <w:p w14:paraId="6D17B4EA" w14:textId="385DE017" w:rsidR="003F4338" w:rsidRPr="00612169" w:rsidRDefault="00F74E64" w:rsidP="00F74E64">
      <w:pPr>
        <w:pStyle w:val="NormalWeb"/>
        <w:shd w:val="clear" w:color="auto" w:fill="FFFFFF"/>
        <w:tabs>
          <w:tab w:val="num" w:pos="567"/>
        </w:tabs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6.1</w:t>
      </w:r>
      <w:r>
        <w:rPr>
          <w:rFonts w:ascii="Arial" w:hAnsi="Arial" w:cs="Arial"/>
          <w:color w:val="0B0C0C"/>
        </w:rPr>
        <w:tab/>
      </w:r>
      <w:r w:rsidR="00C93F33" w:rsidRPr="00C93F33">
        <w:rPr>
          <w:rFonts w:ascii="Arial" w:hAnsi="Arial" w:cs="Arial"/>
          <w:color w:val="0B0C0C"/>
        </w:rPr>
        <w:t>The Hillingdon Schools Forum Meeting on the 18th of October 2023 recommended that the Council carry out a consultation with all Hillingdon mainstream schools on 2 options for the proposed calculation of SEN notional funding contained within their mainstream schools budgets for 2024/25.</w:t>
      </w:r>
      <w:r w:rsidR="00C93F33">
        <w:rPr>
          <w:rFonts w:ascii="Arial" w:hAnsi="Arial" w:cs="Arial"/>
          <w:color w:val="0B0C0C"/>
        </w:rPr>
        <w:t xml:space="preserve"> </w:t>
      </w:r>
      <w:r w:rsidR="0020110D">
        <w:rPr>
          <w:rFonts w:ascii="Arial" w:hAnsi="Arial" w:cs="Arial"/>
          <w:color w:val="0B0C0C"/>
        </w:rPr>
        <w:t xml:space="preserve"> </w:t>
      </w:r>
    </w:p>
    <w:p w14:paraId="4D884F41" w14:textId="2414BDF8" w:rsidR="00CE5534" w:rsidRPr="00612169" w:rsidRDefault="00F74E64" w:rsidP="00F74E64">
      <w:pPr>
        <w:pStyle w:val="NormalWeb"/>
        <w:shd w:val="clear" w:color="auto" w:fill="FFFFFF"/>
        <w:tabs>
          <w:tab w:val="num" w:pos="567"/>
        </w:tabs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6.2</w:t>
      </w:r>
      <w:r>
        <w:rPr>
          <w:rFonts w:ascii="Arial" w:hAnsi="Arial" w:cs="Arial"/>
          <w:color w:val="0B0C0C"/>
        </w:rPr>
        <w:tab/>
      </w:r>
      <w:r w:rsidR="00CE5534" w:rsidRPr="00612169">
        <w:rPr>
          <w:rFonts w:ascii="Arial" w:hAnsi="Arial" w:cs="Arial"/>
          <w:color w:val="0B0C0C"/>
        </w:rPr>
        <w:t xml:space="preserve">The consultation </w:t>
      </w:r>
      <w:r w:rsidR="00FB5829">
        <w:rPr>
          <w:rFonts w:ascii="Arial" w:hAnsi="Arial" w:cs="Arial"/>
          <w:color w:val="0B0C0C"/>
        </w:rPr>
        <w:t xml:space="preserve">response paper (circulated alongside this paper) </w:t>
      </w:r>
      <w:proofErr w:type="gramStart"/>
      <w:r w:rsidR="00CE5534" w:rsidRPr="00612169">
        <w:rPr>
          <w:rFonts w:ascii="Arial" w:hAnsi="Arial" w:cs="Arial"/>
          <w:color w:val="0B0C0C"/>
        </w:rPr>
        <w:t>seek</w:t>
      </w:r>
      <w:proofErr w:type="gramEnd"/>
      <w:r w:rsidR="00CE5534" w:rsidRPr="00612169">
        <w:rPr>
          <w:rFonts w:ascii="Arial" w:hAnsi="Arial" w:cs="Arial"/>
          <w:color w:val="0B0C0C"/>
        </w:rPr>
        <w:t xml:space="preserve"> views on 2 options:</w:t>
      </w:r>
    </w:p>
    <w:p w14:paraId="5B67A55D" w14:textId="1AE2B0DC" w:rsidR="00EF7342" w:rsidRDefault="00CE5534" w:rsidP="00F74E64">
      <w:pPr>
        <w:pStyle w:val="NormalWeb"/>
        <w:numPr>
          <w:ilvl w:val="0"/>
          <w:numId w:val="25"/>
        </w:numPr>
        <w:shd w:val="clear" w:color="auto" w:fill="FFFFFF"/>
        <w:tabs>
          <w:tab w:val="num" w:pos="567"/>
          <w:tab w:val="num" w:pos="1134"/>
        </w:tabs>
        <w:spacing w:after="240" w:afterAutospacing="0"/>
        <w:ind w:left="1134" w:hanging="567"/>
        <w:rPr>
          <w:rFonts w:ascii="Arial" w:hAnsi="Arial" w:cs="Arial"/>
          <w:color w:val="0B0C0C"/>
        </w:rPr>
      </w:pPr>
      <w:r w:rsidRPr="00612169">
        <w:rPr>
          <w:rFonts w:ascii="Arial" w:hAnsi="Arial" w:cs="Arial"/>
          <w:color w:val="0B0C0C"/>
        </w:rPr>
        <w:t xml:space="preserve">Option 1: </w:t>
      </w:r>
      <w:r w:rsidR="00307514" w:rsidRPr="00612169">
        <w:rPr>
          <w:rFonts w:ascii="Arial" w:hAnsi="Arial" w:cs="Arial"/>
          <w:color w:val="0B0C0C"/>
        </w:rPr>
        <w:t>The Council</w:t>
      </w:r>
      <w:r w:rsidR="0046022F">
        <w:rPr>
          <w:rFonts w:ascii="Arial" w:hAnsi="Arial" w:cs="Arial"/>
          <w:color w:val="0B0C0C"/>
        </w:rPr>
        <w:t>’s</w:t>
      </w:r>
      <w:r w:rsidR="000F0CA5">
        <w:rPr>
          <w:rFonts w:ascii="Arial" w:hAnsi="Arial" w:cs="Arial"/>
          <w:color w:val="0B0C0C"/>
        </w:rPr>
        <w:t xml:space="preserve"> </w:t>
      </w:r>
      <w:r w:rsidR="00307514" w:rsidRPr="00550637">
        <w:rPr>
          <w:rFonts w:ascii="Arial" w:hAnsi="Arial" w:cs="Arial"/>
          <w:color w:val="0B0C0C"/>
        </w:rPr>
        <w:t>adopt</w:t>
      </w:r>
      <w:r w:rsidR="000F0CA5">
        <w:rPr>
          <w:rFonts w:ascii="Arial" w:hAnsi="Arial" w:cs="Arial"/>
          <w:color w:val="0B0C0C"/>
        </w:rPr>
        <w:t>s</w:t>
      </w:r>
      <w:r w:rsidR="00307514" w:rsidRPr="00550637">
        <w:rPr>
          <w:rFonts w:ascii="Arial" w:hAnsi="Arial" w:cs="Arial"/>
          <w:color w:val="0B0C0C"/>
        </w:rPr>
        <w:t xml:space="preserve"> the factors and percentages in Table 1</w:t>
      </w:r>
      <w:r w:rsidR="00210F24">
        <w:rPr>
          <w:rFonts w:ascii="Arial" w:hAnsi="Arial" w:cs="Arial"/>
          <w:color w:val="0B0C0C"/>
        </w:rPr>
        <w:t xml:space="preserve"> when setting </w:t>
      </w:r>
      <w:r w:rsidR="00307514" w:rsidRPr="00612169">
        <w:rPr>
          <w:rFonts w:ascii="Arial" w:hAnsi="Arial" w:cs="Arial"/>
          <w:color w:val="0B0C0C"/>
        </w:rPr>
        <w:t>the 2024/25 SEN notional budget</w:t>
      </w:r>
      <w:r w:rsidR="000F0CA5">
        <w:rPr>
          <w:rFonts w:ascii="Arial" w:hAnsi="Arial" w:cs="Arial"/>
          <w:color w:val="0B0C0C"/>
        </w:rPr>
        <w:t>.</w:t>
      </w:r>
    </w:p>
    <w:p w14:paraId="6DA629B3" w14:textId="4CE6510D" w:rsidR="00556BCA" w:rsidRDefault="003549A0" w:rsidP="00F74E64">
      <w:pPr>
        <w:pStyle w:val="NormalWeb"/>
        <w:numPr>
          <w:ilvl w:val="0"/>
          <w:numId w:val="25"/>
        </w:numPr>
        <w:shd w:val="clear" w:color="auto" w:fill="FFFFFF"/>
        <w:tabs>
          <w:tab w:val="num" w:pos="567"/>
          <w:tab w:val="num" w:pos="1134"/>
        </w:tabs>
        <w:spacing w:before="0" w:beforeAutospacing="0" w:after="0" w:afterAutospacing="0"/>
        <w:ind w:left="1134" w:hanging="567"/>
        <w:rPr>
          <w:rFonts w:ascii="Arial" w:hAnsi="Arial" w:cs="Arial"/>
          <w:color w:val="0B0C0C"/>
        </w:rPr>
      </w:pPr>
      <w:r w:rsidRPr="00612169">
        <w:rPr>
          <w:rFonts w:ascii="Arial" w:hAnsi="Arial" w:cs="Arial"/>
          <w:color w:val="0B0C0C"/>
        </w:rPr>
        <w:t xml:space="preserve">Option 2: </w:t>
      </w:r>
      <w:r w:rsidR="00D726A7">
        <w:rPr>
          <w:rFonts w:ascii="Arial" w:hAnsi="Arial" w:cs="Arial"/>
          <w:color w:val="0B0C0C"/>
        </w:rPr>
        <w:t xml:space="preserve">The Council uses </w:t>
      </w:r>
      <w:r w:rsidR="0073500F" w:rsidRPr="00612169">
        <w:rPr>
          <w:rFonts w:ascii="Arial" w:hAnsi="Arial" w:cs="Arial"/>
          <w:color w:val="0B0C0C"/>
        </w:rPr>
        <w:t xml:space="preserve">factors </w:t>
      </w:r>
      <w:r w:rsidR="004E0E74">
        <w:rPr>
          <w:rFonts w:ascii="Arial" w:hAnsi="Arial" w:cs="Arial"/>
          <w:color w:val="0B0C0C"/>
        </w:rPr>
        <w:t xml:space="preserve">for </w:t>
      </w:r>
      <w:r w:rsidR="00BC1227">
        <w:rPr>
          <w:rFonts w:ascii="Arial" w:hAnsi="Arial" w:cs="Arial"/>
          <w:color w:val="0B0C0C"/>
        </w:rPr>
        <w:t>setting</w:t>
      </w:r>
      <w:r w:rsidR="004E0E74">
        <w:rPr>
          <w:rFonts w:ascii="Arial" w:hAnsi="Arial" w:cs="Arial"/>
          <w:color w:val="0B0C0C"/>
        </w:rPr>
        <w:t xml:space="preserve"> </w:t>
      </w:r>
      <w:r w:rsidR="001230F0">
        <w:rPr>
          <w:rFonts w:ascii="Arial" w:hAnsi="Arial" w:cs="Arial"/>
          <w:color w:val="0B0C0C"/>
        </w:rPr>
        <w:t xml:space="preserve">the </w:t>
      </w:r>
      <w:r w:rsidR="004E0E74" w:rsidRPr="00612169">
        <w:rPr>
          <w:rFonts w:ascii="Arial" w:hAnsi="Arial" w:cs="Arial"/>
          <w:color w:val="0B0C0C"/>
        </w:rPr>
        <w:t>2024/25 SEN notional budget</w:t>
      </w:r>
      <w:r w:rsidR="004E0E74">
        <w:rPr>
          <w:rFonts w:ascii="Arial" w:hAnsi="Arial" w:cs="Arial"/>
          <w:color w:val="0B0C0C"/>
        </w:rPr>
        <w:t xml:space="preserve"> </w:t>
      </w:r>
      <w:r w:rsidR="0073500F" w:rsidRPr="00612169">
        <w:rPr>
          <w:rFonts w:ascii="Arial" w:hAnsi="Arial" w:cs="Arial"/>
          <w:color w:val="0B0C0C"/>
        </w:rPr>
        <w:t xml:space="preserve">that bring the </w:t>
      </w:r>
      <w:r w:rsidR="009946CB" w:rsidRPr="00612169">
        <w:rPr>
          <w:rFonts w:ascii="Arial" w:hAnsi="Arial" w:cs="Arial"/>
          <w:color w:val="0B0C0C"/>
        </w:rPr>
        <w:t xml:space="preserve">total </w:t>
      </w:r>
      <w:r w:rsidR="0073500F" w:rsidRPr="00612169">
        <w:rPr>
          <w:rFonts w:ascii="Arial" w:hAnsi="Arial" w:cs="Arial"/>
          <w:color w:val="0B0C0C"/>
        </w:rPr>
        <w:t>SEN notional calculation 50% closer</w:t>
      </w:r>
      <w:r w:rsidR="0033482F" w:rsidRPr="00612169">
        <w:rPr>
          <w:rFonts w:ascii="Arial" w:hAnsi="Arial" w:cs="Arial"/>
          <w:color w:val="0B0C0C"/>
        </w:rPr>
        <w:t xml:space="preserve"> </w:t>
      </w:r>
      <w:r w:rsidR="008E5969" w:rsidRPr="00612169">
        <w:rPr>
          <w:rFonts w:ascii="Arial" w:hAnsi="Arial" w:cs="Arial"/>
          <w:color w:val="0B0C0C"/>
        </w:rPr>
        <w:t xml:space="preserve">to </w:t>
      </w:r>
      <w:r w:rsidR="003E26F8">
        <w:rPr>
          <w:rFonts w:ascii="Arial" w:hAnsi="Arial" w:cs="Arial"/>
          <w:color w:val="0B0C0C"/>
        </w:rPr>
        <w:t xml:space="preserve">the calculation under </w:t>
      </w:r>
      <w:r w:rsidR="00036413">
        <w:rPr>
          <w:rFonts w:ascii="Arial" w:hAnsi="Arial" w:cs="Arial"/>
          <w:color w:val="0B0C0C"/>
        </w:rPr>
        <w:t>Option</w:t>
      </w:r>
      <w:r w:rsidR="003E26F8">
        <w:rPr>
          <w:rFonts w:ascii="Arial" w:hAnsi="Arial" w:cs="Arial"/>
          <w:color w:val="0B0C0C"/>
        </w:rPr>
        <w:t xml:space="preserve"> 1</w:t>
      </w:r>
      <w:r w:rsidR="00C767EC">
        <w:rPr>
          <w:rFonts w:ascii="Arial" w:hAnsi="Arial" w:cs="Arial"/>
          <w:color w:val="0B0C0C"/>
        </w:rPr>
        <w:t>,</w:t>
      </w:r>
      <w:r w:rsidR="001230F0">
        <w:rPr>
          <w:rFonts w:ascii="Arial" w:hAnsi="Arial" w:cs="Arial"/>
          <w:color w:val="0B0C0C"/>
        </w:rPr>
        <w:t xml:space="preserve"> and </w:t>
      </w:r>
      <w:r w:rsidR="00BC1227">
        <w:rPr>
          <w:rFonts w:ascii="Arial" w:hAnsi="Arial" w:cs="Arial"/>
          <w:color w:val="0B0C0C"/>
        </w:rPr>
        <w:t>t</w:t>
      </w:r>
      <w:r w:rsidR="00BC1227" w:rsidRPr="00BC1227">
        <w:rPr>
          <w:rFonts w:ascii="Arial" w:hAnsi="Arial" w:cs="Arial"/>
          <w:color w:val="0B0C0C"/>
        </w:rPr>
        <w:t xml:space="preserve">he Council </w:t>
      </w:r>
      <w:r w:rsidR="004E193C">
        <w:rPr>
          <w:rFonts w:ascii="Arial" w:hAnsi="Arial" w:cs="Arial"/>
          <w:color w:val="0B0C0C"/>
        </w:rPr>
        <w:t xml:space="preserve">fully </w:t>
      </w:r>
      <w:r w:rsidR="00BC1227" w:rsidRPr="00BC1227">
        <w:rPr>
          <w:rFonts w:ascii="Arial" w:hAnsi="Arial" w:cs="Arial"/>
          <w:color w:val="0B0C0C"/>
        </w:rPr>
        <w:t xml:space="preserve">adopts the factors and percentages in Table 1 </w:t>
      </w:r>
      <w:r w:rsidR="001230F0">
        <w:rPr>
          <w:rFonts w:ascii="Arial" w:hAnsi="Arial" w:cs="Arial"/>
          <w:color w:val="0B0C0C"/>
        </w:rPr>
        <w:t xml:space="preserve">when setting the </w:t>
      </w:r>
      <w:r w:rsidR="00BC1227" w:rsidRPr="00BC1227">
        <w:rPr>
          <w:rFonts w:ascii="Arial" w:hAnsi="Arial" w:cs="Arial"/>
          <w:color w:val="0B0C0C"/>
        </w:rPr>
        <w:t>202</w:t>
      </w:r>
      <w:r w:rsidR="004E193C">
        <w:rPr>
          <w:rFonts w:ascii="Arial" w:hAnsi="Arial" w:cs="Arial"/>
          <w:color w:val="0B0C0C"/>
        </w:rPr>
        <w:t>5</w:t>
      </w:r>
      <w:r w:rsidR="00BC1227" w:rsidRPr="00BC1227">
        <w:rPr>
          <w:rFonts w:ascii="Arial" w:hAnsi="Arial" w:cs="Arial"/>
          <w:color w:val="0B0C0C"/>
        </w:rPr>
        <w:t>/2</w:t>
      </w:r>
      <w:r w:rsidR="004E193C">
        <w:rPr>
          <w:rFonts w:ascii="Arial" w:hAnsi="Arial" w:cs="Arial"/>
          <w:color w:val="0B0C0C"/>
        </w:rPr>
        <w:t>6</w:t>
      </w:r>
      <w:r w:rsidR="00BC1227" w:rsidRPr="00BC1227">
        <w:rPr>
          <w:rFonts w:ascii="Arial" w:hAnsi="Arial" w:cs="Arial"/>
          <w:color w:val="0B0C0C"/>
        </w:rPr>
        <w:t xml:space="preserve"> SEN notional budget.</w:t>
      </w:r>
    </w:p>
    <w:p w14:paraId="2B274C8C" w14:textId="501A1E3D" w:rsidR="00803038" w:rsidRDefault="00F74E64" w:rsidP="00F74E64">
      <w:pPr>
        <w:pStyle w:val="NormalWeb"/>
        <w:shd w:val="clear" w:color="auto" w:fill="FFFFFF"/>
        <w:tabs>
          <w:tab w:val="num" w:pos="567"/>
        </w:tabs>
        <w:ind w:left="567" w:hanging="567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6.3</w:t>
      </w:r>
      <w:r>
        <w:rPr>
          <w:rFonts w:ascii="Arial" w:hAnsi="Arial" w:cs="Arial"/>
          <w:color w:val="0B0C0C"/>
        </w:rPr>
        <w:tab/>
      </w:r>
      <w:r w:rsidR="00803038">
        <w:rPr>
          <w:rFonts w:ascii="Arial" w:hAnsi="Arial" w:cs="Arial"/>
          <w:color w:val="0B0C0C"/>
        </w:rPr>
        <w:t xml:space="preserve">Table </w:t>
      </w:r>
      <w:r w:rsidR="00863155">
        <w:rPr>
          <w:rFonts w:ascii="Arial" w:hAnsi="Arial" w:cs="Arial"/>
          <w:color w:val="0B0C0C"/>
        </w:rPr>
        <w:t xml:space="preserve">2 below gives </w:t>
      </w:r>
      <w:r w:rsidR="00C3613B">
        <w:rPr>
          <w:rFonts w:ascii="Arial" w:hAnsi="Arial" w:cs="Arial"/>
          <w:color w:val="0B0C0C"/>
        </w:rPr>
        <w:t xml:space="preserve">an indication of </w:t>
      </w:r>
      <w:r w:rsidR="00C10599">
        <w:rPr>
          <w:rFonts w:ascii="Arial" w:hAnsi="Arial" w:cs="Arial"/>
          <w:color w:val="0B0C0C"/>
        </w:rPr>
        <w:t xml:space="preserve">the difference in the levels of SEN notional budget </w:t>
      </w:r>
      <w:r w:rsidR="00766F0D">
        <w:rPr>
          <w:rFonts w:ascii="Arial" w:hAnsi="Arial" w:cs="Arial"/>
          <w:color w:val="0B0C0C"/>
        </w:rPr>
        <w:t xml:space="preserve">calculated under each of the </w:t>
      </w:r>
      <w:r w:rsidR="0073614A">
        <w:rPr>
          <w:rFonts w:ascii="Arial" w:hAnsi="Arial" w:cs="Arial"/>
          <w:color w:val="0B0C0C"/>
        </w:rPr>
        <w:t xml:space="preserve">two </w:t>
      </w:r>
      <w:r w:rsidR="00766F0D">
        <w:rPr>
          <w:rFonts w:ascii="Arial" w:hAnsi="Arial" w:cs="Arial"/>
          <w:color w:val="0B0C0C"/>
        </w:rPr>
        <w:t>option</w:t>
      </w:r>
      <w:r w:rsidR="0073614A">
        <w:rPr>
          <w:rFonts w:ascii="Arial" w:hAnsi="Arial" w:cs="Arial"/>
          <w:color w:val="0B0C0C"/>
        </w:rPr>
        <w:t>s</w:t>
      </w:r>
      <w:r w:rsidR="00766F0D">
        <w:rPr>
          <w:rFonts w:ascii="Arial" w:hAnsi="Arial" w:cs="Arial"/>
          <w:color w:val="0B0C0C"/>
        </w:rPr>
        <w:t>.</w:t>
      </w:r>
      <w:r w:rsidR="00C94561">
        <w:rPr>
          <w:rFonts w:ascii="Arial" w:hAnsi="Arial" w:cs="Arial"/>
          <w:color w:val="0B0C0C"/>
        </w:rPr>
        <w:t xml:space="preserve"> It sho</w:t>
      </w:r>
      <w:r w:rsidR="0073614A">
        <w:rPr>
          <w:rFonts w:ascii="Arial" w:hAnsi="Arial" w:cs="Arial"/>
          <w:color w:val="0B0C0C"/>
        </w:rPr>
        <w:t xml:space="preserve">uld </w:t>
      </w:r>
      <w:r w:rsidR="00C94561">
        <w:rPr>
          <w:rFonts w:ascii="Arial" w:hAnsi="Arial" w:cs="Arial"/>
          <w:color w:val="0B0C0C"/>
        </w:rPr>
        <w:t>be noted that the</w:t>
      </w:r>
      <w:r w:rsidR="0073614A">
        <w:rPr>
          <w:rFonts w:ascii="Arial" w:hAnsi="Arial" w:cs="Arial"/>
          <w:color w:val="0B0C0C"/>
        </w:rPr>
        <w:t xml:space="preserve"> numbers in Table 2 </w:t>
      </w:r>
      <w:r w:rsidR="00C94561">
        <w:rPr>
          <w:rFonts w:ascii="Arial" w:hAnsi="Arial" w:cs="Arial"/>
          <w:color w:val="0B0C0C"/>
        </w:rPr>
        <w:t xml:space="preserve">are based on 2023/24 </w:t>
      </w:r>
      <w:r w:rsidR="00021F83">
        <w:rPr>
          <w:rFonts w:ascii="Arial" w:hAnsi="Arial" w:cs="Arial"/>
          <w:color w:val="0B0C0C"/>
        </w:rPr>
        <w:t xml:space="preserve">schools block funding </w:t>
      </w:r>
      <w:r w:rsidR="0073614A">
        <w:rPr>
          <w:rFonts w:ascii="Arial" w:hAnsi="Arial" w:cs="Arial"/>
          <w:color w:val="0B0C0C"/>
        </w:rPr>
        <w:t>(</w:t>
      </w:r>
      <w:r w:rsidR="00021F83">
        <w:rPr>
          <w:rFonts w:ascii="Arial" w:hAnsi="Arial" w:cs="Arial"/>
          <w:color w:val="0B0C0C"/>
        </w:rPr>
        <w:t>as the funding for 2024/25 will not be know until mid to late December</w:t>
      </w:r>
      <w:r w:rsidR="0073614A">
        <w:rPr>
          <w:rFonts w:ascii="Arial" w:hAnsi="Arial" w:cs="Arial"/>
          <w:color w:val="0B0C0C"/>
        </w:rPr>
        <w:t>) and are therefore for illustrative purposes only</w:t>
      </w:r>
      <w:r w:rsidR="00021F83">
        <w:rPr>
          <w:rFonts w:ascii="Arial" w:hAnsi="Arial" w:cs="Arial"/>
          <w:color w:val="0B0C0C"/>
        </w:rPr>
        <w:t>.</w:t>
      </w:r>
      <w:r w:rsidR="00C94561">
        <w:rPr>
          <w:rFonts w:ascii="Arial" w:hAnsi="Arial" w:cs="Arial"/>
          <w:color w:val="0B0C0C"/>
        </w:rPr>
        <w:t xml:space="preserve"> </w:t>
      </w:r>
      <w:r w:rsidR="00863155">
        <w:rPr>
          <w:rFonts w:ascii="Arial" w:hAnsi="Arial" w:cs="Arial"/>
          <w:color w:val="0B0C0C"/>
        </w:rPr>
        <w:t xml:space="preserve"> </w:t>
      </w:r>
      <w:r w:rsidR="00803038">
        <w:rPr>
          <w:rFonts w:ascii="Arial" w:hAnsi="Arial" w:cs="Arial"/>
          <w:color w:val="0B0C0C"/>
        </w:rPr>
        <w:t xml:space="preserve"> </w:t>
      </w:r>
    </w:p>
    <w:p w14:paraId="7F376B19" w14:textId="61CC55C9" w:rsidR="00DE6F52" w:rsidRPr="00D57C85" w:rsidRDefault="00DE6F52" w:rsidP="00F74E64">
      <w:pPr>
        <w:pStyle w:val="NormalWeb"/>
        <w:shd w:val="clear" w:color="auto" w:fill="FFFFFF"/>
        <w:ind w:left="360" w:firstLine="207"/>
        <w:rPr>
          <w:rFonts w:ascii="Arial" w:hAnsi="Arial" w:cs="Arial"/>
          <w:b/>
          <w:bCs/>
          <w:color w:val="0B0C0C"/>
        </w:rPr>
      </w:pPr>
      <w:r w:rsidRPr="00D57C85">
        <w:rPr>
          <w:rFonts w:ascii="Arial" w:hAnsi="Arial" w:cs="Arial"/>
          <w:b/>
          <w:bCs/>
          <w:color w:val="0B0C0C"/>
        </w:rPr>
        <w:t xml:space="preserve">Table 2: Illustrative figures </w:t>
      </w:r>
      <w:r w:rsidR="00D47B8E" w:rsidRPr="00D57C85">
        <w:rPr>
          <w:rFonts w:ascii="Arial" w:hAnsi="Arial" w:cs="Arial"/>
          <w:b/>
          <w:bCs/>
          <w:color w:val="0B0C0C"/>
        </w:rPr>
        <w:t>for option</w:t>
      </w:r>
      <w:r w:rsidR="00933074">
        <w:rPr>
          <w:rFonts w:ascii="Arial" w:hAnsi="Arial" w:cs="Arial"/>
          <w:b/>
          <w:bCs/>
          <w:color w:val="0B0C0C"/>
        </w:rPr>
        <w:t>s</w:t>
      </w:r>
      <w:r w:rsidR="00D47B8E" w:rsidRPr="00D57C85">
        <w:rPr>
          <w:rFonts w:ascii="Arial" w:hAnsi="Arial" w:cs="Arial"/>
          <w:b/>
          <w:bCs/>
          <w:color w:val="0B0C0C"/>
        </w:rPr>
        <w:t xml:space="preserve"> 1 and 2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09"/>
        <w:gridCol w:w="1767"/>
        <w:gridCol w:w="1701"/>
      </w:tblGrid>
      <w:tr w:rsidR="00D57C85" w:rsidRPr="00D57C85" w14:paraId="78AC77F3" w14:textId="77777777" w:rsidTr="00F74E64">
        <w:trPr>
          <w:trHeight w:val="640"/>
        </w:trPr>
        <w:tc>
          <w:tcPr>
            <w:tcW w:w="2409" w:type="dxa"/>
            <w:noWrap/>
            <w:hideMark/>
          </w:tcPr>
          <w:p w14:paraId="37AC2D86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1767" w:type="dxa"/>
            <w:noWrap/>
            <w:hideMark/>
          </w:tcPr>
          <w:p w14:paraId="635B3D7A" w14:textId="0A477013" w:rsidR="00612169" w:rsidRPr="00D57C85" w:rsidRDefault="00DE6F52" w:rsidP="000126BF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Total S</w:t>
            </w:r>
            <w:r w:rsidR="00D57C85">
              <w:rPr>
                <w:rFonts w:ascii="Arial" w:hAnsi="Arial" w:cs="Arial"/>
                <w:color w:val="0B0C0C"/>
              </w:rPr>
              <w:t>EN</w:t>
            </w:r>
            <w:r w:rsidRPr="00D57C85">
              <w:rPr>
                <w:rFonts w:ascii="Arial" w:hAnsi="Arial" w:cs="Arial"/>
                <w:color w:val="0B0C0C"/>
              </w:rPr>
              <w:t xml:space="preserve"> notional funding</w:t>
            </w:r>
            <w:r w:rsidR="000126BF">
              <w:rPr>
                <w:rFonts w:ascii="Arial" w:hAnsi="Arial" w:cs="Arial"/>
                <w:color w:val="0B0C0C"/>
              </w:rPr>
              <w:t xml:space="preserve"> </w:t>
            </w:r>
            <w:r w:rsidR="000126BF">
              <w:rPr>
                <w:color w:val="0B0C0C"/>
              </w:rPr>
              <w:t>(</w:t>
            </w:r>
            <w:r w:rsidR="00612169" w:rsidRPr="00D57C85">
              <w:rPr>
                <w:rFonts w:ascii="Arial" w:hAnsi="Arial" w:cs="Arial"/>
                <w:color w:val="0B0C0C"/>
              </w:rPr>
              <w:t>£m</w:t>
            </w:r>
            <w:r w:rsidR="00124067">
              <w:rPr>
                <w:rFonts w:ascii="Arial" w:hAnsi="Arial" w:cs="Arial"/>
                <w:color w:val="0B0C0C"/>
              </w:rPr>
              <w:t>)</w:t>
            </w:r>
          </w:p>
        </w:tc>
        <w:tc>
          <w:tcPr>
            <w:tcW w:w="1701" w:type="dxa"/>
            <w:hideMark/>
          </w:tcPr>
          <w:p w14:paraId="3E525C51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% of schools block funding</w:t>
            </w:r>
          </w:p>
        </w:tc>
      </w:tr>
      <w:tr w:rsidR="00D57C85" w:rsidRPr="00D57C85" w14:paraId="1DA25352" w14:textId="77777777" w:rsidTr="00F74E64">
        <w:trPr>
          <w:trHeight w:val="290"/>
        </w:trPr>
        <w:tc>
          <w:tcPr>
            <w:tcW w:w="2409" w:type="dxa"/>
            <w:noWrap/>
            <w:hideMark/>
          </w:tcPr>
          <w:p w14:paraId="0B828E08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1767" w:type="dxa"/>
            <w:noWrap/>
            <w:hideMark/>
          </w:tcPr>
          <w:p w14:paraId="2A8F79FC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479169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 </w:t>
            </w:r>
          </w:p>
        </w:tc>
      </w:tr>
      <w:tr w:rsidR="00D57C85" w:rsidRPr="00D57C85" w14:paraId="3D3AA8BF" w14:textId="77777777" w:rsidTr="00F74E64">
        <w:trPr>
          <w:trHeight w:val="290"/>
        </w:trPr>
        <w:tc>
          <w:tcPr>
            <w:tcW w:w="2409" w:type="dxa"/>
            <w:noWrap/>
            <w:hideMark/>
          </w:tcPr>
          <w:p w14:paraId="77633306" w14:textId="77777777" w:rsidR="00612169" w:rsidRPr="00D57C85" w:rsidRDefault="00612169" w:rsidP="00C767EC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existing method</w:t>
            </w:r>
          </w:p>
        </w:tc>
        <w:tc>
          <w:tcPr>
            <w:tcW w:w="1767" w:type="dxa"/>
            <w:noWrap/>
            <w:hideMark/>
          </w:tcPr>
          <w:p w14:paraId="33A95CE6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16.1</w:t>
            </w:r>
          </w:p>
        </w:tc>
        <w:tc>
          <w:tcPr>
            <w:tcW w:w="1701" w:type="dxa"/>
            <w:noWrap/>
            <w:hideMark/>
          </w:tcPr>
          <w:p w14:paraId="035DB6CE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6.1%</w:t>
            </w:r>
          </w:p>
        </w:tc>
      </w:tr>
      <w:tr w:rsidR="00D57C85" w:rsidRPr="00D57C85" w14:paraId="53E07D28" w14:textId="77777777" w:rsidTr="00F74E64">
        <w:trPr>
          <w:trHeight w:val="290"/>
        </w:trPr>
        <w:tc>
          <w:tcPr>
            <w:tcW w:w="2409" w:type="dxa"/>
            <w:noWrap/>
            <w:hideMark/>
          </w:tcPr>
          <w:p w14:paraId="3C338984" w14:textId="77777777" w:rsidR="00612169" w:rsidRPr="00D57C85" w:rsidRDefault="00612169" w:rsidP="00C767EC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option 2</w:t>
            </w:r>
          </w:p>
        </w:tc>
        <w:tc>
          <w:tcPr>
            <w:tcW w:w="1767" w:type="dxa"/>
            <w:noWrap/>
            <w:hideMark/>
          </w:tcPr>
          <w:p w14:paraId="202F7076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22.4</w:t>
            </w:r>
          </w:p>
        </w:tc>
        <w:tc>
          <w:tcPr>
            <w:tcW w:w="1701" w:type="dxa"/>
            <w:noWrap/>
            <w:hideMark/>
          </w:tcPr>
          <w:p w14:paraId="56FA1ABC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8.4%</w:t>
            </w:r>
          </w:p>
        </w:tc>
      </w:tr>
      <w:tr w:rsidR="00D57C85" w:rsidRPr="00D57C85" w14:paraId="750EFEE3" w14:textId="77777777" w:rsidTr="00F74E64">
        <w:trPr>
          <w:trHeight w:val="290"/>
        </w:trPr>
        <w:tc>
          <w:tcPr>
            <w:tcW w:w="2409" w:type="dxa"/>
            <w:noWrap/>
            <w:hideMark/>
          </w:tcPr>
          <w:p w14:paraId="59F26423" w14:textId="77777777" w:rsidR="00612169" w:rsidRPr="00D57C85" w:rsidRDefault="00612169" w:rsidP="00C767EC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option 1</w:t>
            </w:r>
          </w:p>
        </w:tc>
        <w:tc>
          <w:tcPr>
            <w:tcW w:w="1767" w:type="dxa"/>
            <w:noWrap/>
            <w:hideMark/>
          </w:tcPr>
          <w:p w14:paraId="42F87E03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28.6</w:t>
            </w:r>
          </w:p>
        </w:tc>
        <w:tc>
          <w:tcPr>
            <w:tcW w:w="1701" w:type="dxa"/>
            <w:noWrap/>
            <w:hideMark/>
          </w:tcPr>
          <w:p w14:paraId="52071720" w14:textId="77777777" w:rsidR="00612169" w:rsidRPr="00D57C85" w:rsidRDefault="00612169" w:rsidP="00AF0D4E">
            <w:pPr>
              <w:pStyle w:val="NormalWeb"/>
              <w:shd w:val="clear" w:color="auto" w:fill="FFFFFF"/>
              <w:ind w:left="426"/>
              <w:jc w:val="right"/>
              <w:rPr>
                <w:rFonts w:ascii="Arial" w:hAnsi="Arial" w:cs="Arial"/>
                <w:color w:val="0B0C0C"/>
              </w:rPr>
            </w:pPr>
            <w:r w:rsidRPr="00D57C85">
              <w:rPr>
                <w:rFonts w:ascii="Arial" w:hAnsi="Arial" w:cs="Arial"/>
                <w:color w:val="0B0C0C"/>
              </w:rPr>
              <w:t>10.8%</w:t>
            </w:r>
          </w:p>
        </w:tc>
      </w:tr>
    </w:tbl>
    <w:p w14:paraId="553D9AE7" w14:textId="77777777" w:rsidR="00901099" w:rsidRDefault="00901099" w:rsidP="00155F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B0C0C"/>
        </w:rPr>
      </w:pPr>
    </w:p>
    <w:p w14:paraId="6ED08523" w14:textId="77777777" w:rsidR="00F3169A" w:rsidRDefault="00F3169A" w:rsidP="00155F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B0C0C"/>
        </w:rPr>
      </w:pPr>
    </w:p>
    <w:p w14:paraId="54847F32" w14:textId="0D3757D0" w:rsidR="00623616" w:rsidRDefault="00623616" w:rsidP="00F74E64">
      <w:pPr>
        <w:pStyle w:val="NormalWeb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567" w:hanging="567"/>
        <w:rPr>
          <w:rFonts w:ascii="Arial" w:hAnsi="Arial" w:cs="Arial"/>
          <w:b/>
          <w:bCs/>
          <w:color w:val="0B0C0C"/>
        </w:rPr>
      </w:pPr>
      <w:r>
        <w:rPr>
          <w:rFonts w:ascii="Arial" w:hAnsi="Arial" w:cs="Arial"/>
          <w:b/>
          <w:bCs/>
          <w:color w:val="0B0C0C"/>
        </w:rPr>
        <w:t>New APT validation checks</w:t>
      </w:r>
    </w:p>
    <w:p w14:paraId="12611074" w14:textId="77777777" w:rsidR="00F74E64" w:rsidRDefault="00F74E64" w:rsidP="00F74E64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b/>
          <w:bCs/>
          <w:color w:val="0B0C0C"/>
        </w:rPr>
      </w:pPr>
    </w:p>
    <w:p w14:paraId="0699A0E3" w14:textId="2966B401" w:rsidR="00E5713C" w:rsidRDefault="00F74E64" w:rsidP="00F74E64">
      <w:pPr>
        <w:pStyle w:val="NormalWeb"/>
        <w:shd w:val="clear" w:color="auto" w:fill="FFFFFF"/>
        <w:tabs>
          <w:tab w:val="num" w:pos="567"/>
        </w:tabs>
        <w:spacing w:before="0" w:beforeAutospacing="0" w:after="0" w:afterAutospacing="0"/>
        <w:ind w:left="567" w:hanging="567"/>
        <w:rPr>
          <w:rFonts w:ascii="Arial" w:hAnsi="Arial" w:cs="Arial"/>
          <w:color w:val="0B0C0C"/>
          <w:highlight w:val="yellow"/>
        </w:rPr>
      </w:pPr>
      <w:r>
        <w:rPr>
          <w:rFonts w:ascii="Arial" w:hAnsi="Arial" w:cs="Arial"/>
          <w:color w:val="0B0C0C"/>
        </w:rPr>
        <w:t>7.1</w:t>
      </w:r>
      <w:r>
        <w:rPr>
          <w:rFonts w:ascii="Arial" w:hAnsi="Arial" w:cs="Arial"/>
          <w:color w:val="0B0C0C"/>
        </w:rPr>
        <w:tab/>
      </w:r>
      <w:r w:rsidR="00217BB2" w:rsidRPr="00025ABF">
        <w:rPr>
          <w:rFonts w:ascii="Arial" w:hAnsi="Arial" w:cs="Arial"/>
          <w:color w:val="0B0C0C"/>
        </w:rPr>
        <w:t>The Council will decide</w:t>
      </w:r>
      <w:r w:rsidR="00855251" w:rsidRPr="00025ABF">
        <w:rPr>
          <w:rFonts w:ascii="Arial" w:hAnsi="Arial" w:cs="Arial"/>
          <w:color w:val="0B0C0C"/>
        </w:rPr>
        <w:t xml:space="preserve"> on the </w:t>
      </w:r>
      <w:r w:rsidR="00343CE0">
        <w:rPr>
          <w:rFonts w:ascii="Arial" w:hAnsi="Arial" w:cs="Arial"/>
          <w:color w:val="0B0C0C"/>
        </w:rPr>
        <w:t>which factors to use</w:t>
      </w:r>
      <w:r>
        <w:rPr>
          <w:rFonts w:ascii="Arial" w:hAnsi="Arial" w:cs="Arial"/>
          <w:color w:val="0B0C0C"/>
        </w:rPr>
        <w:t xml:space="preserve"> for the 2024/25 SEN notional budgets,</w:t>
      </w:r>
      <w:r w:rsidR="00343CE0">
        <w:rPr>
          <w:rFonts w:ascii="Arial" w:hAnsi="Arial" w:cs="Arial"/>
          <w:color w:val="0B0C0C"/>
        </w:rPr>
        <w:t xml:space="preserve"> after </w:t>
      </w:r>
      <w:proofErr w:type="gramStart"/>
      <w:r w:rsidR="00343CE0">
        <w:rPr>
          <w:rFonts w:ascii="Arial" w:hAnsi="Arial" w:cs="Arial"/>
          <w:color w:val="0B0C0C"/>
        </w:rPr>
        <w:t>taking into account</w:t>
      </w:r>
      <w:proofErr w:type="gramEnd"/>
      <w:r w:rsidR="00343CE0">
        <w:rPr>
          <w:rFonts w:ascii="Arial" w:hAnsi="Arial" w:cs="Arial"/>
          <w:color w:val="0B0C0C"/>
        </w:rPr>
        <w:t xml:space="preserve"> </w:t>
      </w:r>
      <w:r w:rsidR="00137273">
        <w:rPr>
          <w:rFonts w:ascii="Arial" w:hAnsi="Arial" w:cs="Arial"/>
          <w:color w:val="0B0C0C"/>
        </w:rPr>
        <w:t>feedbac</w:t>
      </w:r>
      <w:r w:rsidR="00524C06">
        <w:rPr>
          <w:rFonts w:ascii="Arial" w:hAnsi="Arial" w:cs="Arial"/>
          <w:color w:val="0B0C0C"/>
        </w:rPr>
        <w:t xml:space="preserve">k from </w:t>
      </w:r>
      <w:r w:rsidR="00767F11">
        <w:rPr>
          <w:rFonts w:ascii="Arial" w:hAnsi="Arial" w:cs="Arial"/>
          <w:color w:val="0B0C0C"/>
        </w:rPr>
        <w:t>schools forum</w:t>
      </w:r>
      <w:r w:rsidR="00B00E07">
        <w:rPr>
          <w:rFonts w:ascii="Arial" w:hAnsi="Arial" w:cs="Arial"/>
          <w:color w:val="0B0C0C"/>
        </w:rPr>
        <w:t xml:space="preserve"> and </w:t>
      </w:r>
      <w:r w:rsidR="00806220">
        <w:rPr>
          <w:rFonts w:ascii="Arial" w:hAnsi="Arial" w:cs="Arial"/>
          <w:color w:val="0B0C0C"/>
        </w:rPr>
        <w:t>this consultation</w:t>
      </w:r>
      <w:r w:rsidR="00FD69A2">
        <w:rPr>
          <w:rFonts w:ascii="Arial" w:hAnsi="Arial" w:cs="Arial"/>
          <w:color w:val="0B0C0C"/>
        </w:rPr>
        <w:t>.</w:t>
      </w:r>
      <w:r w:rsidR="00965B23">
        <w:rPr>
          <w:rFonts w:ascii="Arial" w:hAnsi="Arial" w:cs="Arial"/>
          <w:color w:val="0B0C0C"/>
        </w:rPr>
        <w:t xml:space="preserve"> However</w:t>
      </w:r>
      <w:r w:rsidR="00E05C62">
        <w:rPr>
          <w:rFonts w:ascii="Arial" w:hAnsi="Arial" w:cs="Arial"/>
          <w:color w:val="0B0C0C"/>
        </w:rPr>
        <w:t>,</w:t>
      </w:r>
      <w:r w:rsidR="00965B23">
        <w:rPr>
          <w:rFonts w:ascii="Arial" w:hAnsi="Arial" w:cs="Arial"/>
          <w:color w:val="0B0C0C"/>
        </w:rPr>
        <w:t xml:space="preserve"> it should be noted that </w:t>
      </w:r>
      <w:r w:rsidR="00B414DC">
        <w:rPr>
          <w:rFonts w:ascii="Arial" w:hAnsi="Arial" w:cs="Arial"/>
          <w:color w:val="0B0C0C"/>
        </w:rPr>
        <w:t xml:space="preserve">there are new validation checks within the ESFA </w:t>
      </w:r>
      <w:r w:rsidR="001B31B8">
        <w:rPr>
          <w:rFonts w:ascii="Arial" w:hAnsi="Arial" w:cs="Arial"/>
          <w:color w:val="0B0C0C"/>
        </w:rPr>
        <w:t xml:space="preserve">schools budget setting template (the APT) and these may </w:t>
      </w:r>
      <w:r w:rsidR="002E6C95">
        <w:rPr>
          <w:rFonts w:ascii="Arial" w:hAnsi="Arial" w:cs="Arial"/>
          <w:color w:val="0B0C0C"/>
        </w:rPr>
        <w:t xml:space="preserve">limit </w:t>
      </w:r>
      <w:r w:rsidR="00840B5F">
        <w:rPr>
          <w:rFonts w:ascii="Arial" w:hAnsi="Arial" w:cs="Arial"/>
          <w:color w:val="0B0C0C"/>
        </w:rPr>
        <w:t xml:space="preserve">how </w:t>
      </w:r>
      <w:r w:rsidR="002313AA">
        <w:rPr>
          <w:rFonts w:ascii="Arial" w:hAnsi="Arial" w:cs="Arial"/>
          <w:color w:val="0B0C0C"/>
        </w:rPr>
        <w:t xml:space="preserve">low the total SEN </w:t>
      </w:r>
      <w:r w:rsidR="00840B5F">
        <w:rPr>
          <w:rFonts w:ascii="Arial" w:hAnsi="Arial" w:cs="Arial"/>
          <w:color w:val="0B0C0C"/>
        </w:rPr>
        <w:t>notional f</w:t>
      </w:r>
      <w:r w:rsidR="002F729F">
        <w:rPr>
          <w:rFonts w:ascii="Arial" w:hAnsi="Arial" w:cs="Arial"/>
          <w:color w:val="0B0C0C"/>
        </w:rPr>
        <w:t>unding can be</w:t>
      </w:r>
      <w:r w:rsidR="003F515D">
        <w:rPr>
          <w:rFonts w:ascii="Arial" w:hAnsi="Arial" w:cs="Arial"/>
          <w:color w:val="0B0C0C"/>
        </w:rPr>
        <w:t xml:space="preserve"> set</w:t>
      </w:r>
      <w:r w:rsidR="002F729F">
        <w:rPr>
          <w:rFonts w:ascii="Arial" w:hAnsi="Arial" w:cs="Arial"/>
          <w:color w:val="0B0C0C"/>
        </w:rPr>
        <w:t xml:space="preserve">. The impact of this cannot be confirmed until the 2024/25 final APT </w:t>
      </w:r>
      <w:r w:rsidR="003F515D">
        <w:rPr>
          <w:rFonts w:ascii="Arial" w:hAnsi="Arial" w:cs="Arial"/>
          <w:color w:val="0B0C0C"/>
        </w:rPr>
        <w:t xml:space="preserve">template </w:t>
      </w:r>
      <w:r w:rsidR="002F729F">
        <w:rPr>
          <w:rFonts w:ascii="Arial" w:hAnsi="Arial" w:cs="Arial"/>
          <w:color w:val="0B0C0C"/>
        </w:rPr>
        <w:t xml:space="preserve">and </w:t>
      </w:r>
      <w:r w:rsidR="00E606C7">
        <w:rPr>
          <w:rFonts w:ascii="Arial" w:hAnsi="Arial" w:cs="Arial"/>
          <w:color w:val="0B0C0C"/>
        </w:rPr>
        <w:t xml:space="preserve">schools </w:t>
      </w:r>
      <w:r w:rsidR="0082516E">
        <w:rPr>
          <w:rFonts w:ascii="Arial" w:hAnsi="Arial" w:cs="Arial"/>
          <w:color w:val="0B0C0C"/>
        </w:rPr>
        <w:t xml:space="preserve">2024/25 </w:t>
      </w:r>
      <w:r w:rsidR="00E606C7">
        <w:rPr>
          <w:rFonts w:ascii="Arial" w:hAnsi="Arial" w:cs="Arial"/>
          <w:color w:val="0B0C0C"/>
        </w:rPr>
        <w:t xml:space="preserve">DSG allocations are published </w:t>
      </w:r>
      <w:r w:rsidR="003F515D">
        <w:rPr>
          <w:rFonts w:ascii="Arial" w:hAnsi="Arial" w:cs="Arial"/>
          <w:color w:val="0B0C0C"/>
        </w:rPr>
        <w:t xml:space="preserve">by EFSA </w:t>
      </w:r>
      <w:r w:rsidR="00E606C7">
        <w:rPr>
          <w:rFonts w:ascii="Arial" w:hAnsi="Arial" w:cs="Arial"/>
          <w:color w:val="0B0C0C"/>
        </w:rPr>
        <w:t>(pro</w:t>
      </w:r>
      <w:r w:rsidR="00DB3C24">
        <w:rPr>
          <w:rFonts w:ascii="Arial" w:hAnsi="Arial" w:cs="Arial"/>
          <w:color w:val="0B0C0C"/>
        </w:rPr>
        <w:t>bably in mid to late December).</w:t>
      </w:r>
      <w:r w:rsidR="00965B23">
        <w:rPr>
          <w:rFonts w:ascii="Arial" w:hAnsi="Arial" w:cs="Arial"/>
          <w:color w:val="0B0C0C"/>
        </w:rPr>
        <w:t xml:space="preserve"> </w:t>
      </w:r>
      <w:r w:rsidR="00FD2F3E">
        <w:rPr>
          <w:rFonts w:ascii="Arial" w:hAnsi="Arial" w:cs="Arial"/>
          <w:color w:val="0B0C0C"/>
        </w:rPr>
        <w:t>As a result</w:t>
      </w:r>
      <w:r w:rsidR="00767F11">
        <w:rPr>
          <w:rFonts w:ascii="Arial" w:hAnsi="Arial" w:cs="Arial"/>
          <w:color w:val="0B0C0C"/>
        </w:rPr>
        <w:t>,</w:t>
      </w:r>
      <w:r w:rsidR="00125037">
        <w:rPr>
          <w:rFonts w:ascii="Arial" w:hAnsi="Arial" w:cs="Arial"/>
          <w:color w:val="0B0C0C"/>
        </w:rPr>
        <w:t xml:space="preserve"> the Council will only be able to confirm </w:t>
      </w:r>
      <w:r w:rsidR="00FD5A32">
        <w:rPr>
          <w:rFonts w:ascii="Arial" w:hAnsi="Arial" w:cs="Arial"/>
          <w:color w:val="0B0C0C"/>
        </w:rPr>
        <w:t xml:space="preserve">final allocations </w:t>
      </w:r>
      <w:r w:rsidR="00754CC3">
        <w:rPr>
          <w:rFonts w:ascii="Arial" w:hAnsi="Arial" w:cs="Arial"/>
          <w:color w:val="0B0C0C"/>
        </w:rPr>
        <w:t xml:space="preserve">and factors used to set the </w:t>
      </w:r>
      <w:r w:rsidR="00FD2F3E">
        <w:rPr>
          <w:rFonts w:ascii="Arial" w:hAnsi="Arial" w:cs="Arial"/>
          <w:color w:val="0B0C0C"/>
        </w:rPr>
        <w:t xml:space="preserve">2024/25 SEN notional </w:t>
      </w:r>
      <w:r w:rsidR="00754CC3">
        <w:rPr>
          <w:rFonts w:ascii="Arial" w:hAnsi="Arial" w:cs="Arial"/>
          <w:color w:val="0B0C0C"/>
        </w:rPr>
        <w:t>budget</w:t>
      </w:r>
      <w:r w:rsidR="0082516E">
        <w:rPr>
          <w:rFonts w:ascii="Arial" w:hAnsi="Arial" w:cs="Arial"/>
          <w:color w:val="0B0C0C"/>
        </w:rPr>
        <w:t>s</w:t>
      </w:r>
      <w:r w:rsidR="00754CC3">
        <w:rPr>
          <w:rFonts w:ascii="Arial" w:hAnsi="Arial" w:cs="Arial"/>
          <w:color w:val="0B0C0C"/>
        </w:rPr>
        <w:t xml:space="preserve"> </w:t>
      </w:r>
      <w:r w:rsidR="00FD5A32">
        <w:rPr>
          <w:rFonts w:ascii="Arial" w:hAnsi="Arial" w:cs="Arial"/>
          <w:color w:val="0B0C0C"/>
        </w:rPr>
        <w:t>in January 2024.</w:t>
      </w:r>
    </w:p>
    <w:sectPr w:rsidR="00E5713C" w:rsidSect="003203D1">
      <w:footerReference w:type="default" r:id="rId12"/>
      <w:pgSz w:w="11906" w:h="16838"/>
      <w:pgMar w:top="1135" w:right="566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A60" w14:textId="77777777" w:rsidR="00982A7B" w:rsidRDefault="00982A7B">
      <w:r>
        <w:separator/>
      </w:r>
    </w:p>
  </w:endnote>
  <w:endnote w:type="continuationSeparator" w:id="0">
    <w:p w14:paraId="1E5084BA" w14:textId="77777777" w:rsidR="00982A7B" w:rsidRDefault="0098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643A" w14:textId="17FA51F0" w:rsidR="00AA1997" w:rsidRPr="00663A4C" w:rsidRDefault="00AA1997" w:rsidP="00F94116">
    <w:pPr>
      <w:pStyle w:val="Footer"/>
      <w:rPr>
        <w:rFonts w:ascii="Arial" w:hAnsi="Arial" w:cs="Arial"/>
      </w:rPr>
    </w:pPr>
    <w:r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  <w:r w:rsidRPr="00663A4C">
      <w:rPr>
        <w:rStyle w:val="PageNumber"/>
        <w:rFonts w:ascii="Arial" w:hAnsi="Arial" w:cs="Arial"/>
      </w:rPr>
      <w:fldChar w:fldCharType="begin"/>
    </w:r>
    <w:r w:rsidRPr="00663A4C">
      <w:rPr>
        <w:rStyle w:val="PageNumber"/>
        <w:rFonts w:ascii="Arial" w:hAnsi="Arial" w:cs="Arial"/>
      </w:rPr>
      <w:instrText xml:space="preserve"> PAGE </w:instrText>
    </w:r>
    <w:r w:rsidRPr="00663A4C">
      <w:rPr>
        <w:rStyle w:val="PageNumber"/>
        <w:rFonts w:ascii="Arial" w:hAnsi="Arial" w:cs="Arial"/>
      </w:rPr>
      <w:fldChar w:fldCharType="separate"/>
    </w:r>
    <w:r w:rsidR="006B598A">
      <w:rPr>
        <w:rStyle w:val="PageNumber"/>
        <w:rFonts w:ascii="Arial" w:hAnsi="Arial" w:cs="Arial"/>
        <w:noProof/>
      </w:rPr>
      <w:t>3</w:t>
    </w:r>
    <w:r w:rsidRPr="00663A4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9E0C" w14:textId="77777777" w:rsidR="00982A7B" w:rsidRDefault="00982A7B">
      <w:r>
        <w:separator/>
      </w:r>
    </w:p>
  </w:footnote>
  <w:footnote w:type="continuationSeparator" w:id="0">
    <w:p w14:paraId="7AB35F51" w14:textId="77777777" w:rsidR="00982A7B" w:rsidRDefault="0098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FD4"/>
    <w:multiLevelType w:val="multilevel"/>
    <w:tmpl w:val="9A90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F87DAA"/>
    <w:multiLevelType w:val="multilevel"/>
    <w:tmpl w:val="A9D6245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FC7BFC"/>
    <w:multiLevelType w:val="multilevel"/>
    <w:tmpl w:val="2C4A8A4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AD555F"/>
    <w:multiLevelType w:val="multilevel"/>
    <w:tmpl w:val="A5B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74C6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6D71E9"/>
    <w:multiLevelType w:val="hybridMultilevel"/>
    <w:tmpl w:val="980EB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721"/>
    <w:multiLevelType w:val="multilevel"/>
    <w:tmpl w:val="335498D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A692926"/>
    <w:multiLevelType w:val="hybridMultilevel"/>
    <w:tmpl w:val="B5946C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C58D0"/>
    <w:multiLevelType w:val="hybridMultilevel"/>
    <w:tmpl w:val="399C83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1E31"/>
    <w:multiLevelType w:val="hybridMultilevel"/>
    <w:tmpl w:val="EDA69F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067C64"/>
    <w:multiLevelType w:val="hybridMultilevel"/>
    <w:tmpl w:val="6FEC1CCA"/>
    <w:lvl w:ilvl="0" w:tplc="0809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CD6C2434">
      <w:start w:val="3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24930C6"/>
    <w:multiLevelType w:val="multilevel"/>
    <w:tmpl w:val="95AC8DB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716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93F2D49"/>
    <w:multiLevelType w:val="multilevel"/>
    <w:tmpl w:val="31C48C6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5018A6"/>
    <w:multiLevelType w:val="multilevel"/>
    <w:tmpl w:val="519AD8C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72B427C"/>
    <w:multiLevelType w:val="multilevel"/>
    <w:tmpl w:val="335498D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9584E30"/>
    <w:multiLevelType w:val="multilevel"/>
    <w:tmpl w:val="4B1E1E7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F946F03"/>
    <w:multiLevelType w:val="multilevel"/>
    <w:tmpl w:val="190423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152047"/>
    <w:multiLevelType w:val="hybridMultilevel"/>
    <w:tmpl w:val="01C2B81E"/>
    <w:lvl w:ilvl="0" w:tplc="F8EC33B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65C26D7"/>
    <w:multiLevelType w:val="hybridMultilevel"/>
    <w:tmpl w:val="6DE8D84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6CB0"/>
    <w:multiLevelType w:val="multilevel"/>
    <w:tmpl w:val="31C48C6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D0241C"/>
    <w:multiLevelType w:val="hybridMultilevel"/>
    <w:tmpl w:val="03BECE7E"/>
    <w:lvl w:ilvl="0" w:tplc="F8EC33B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DB164D5"/>
    <w:multiLevelType w:val="multilevel"/>
    <w:tmpl w:val="F15E46C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C9A75D2"/>
    <w:multiLevelType w:val="multilevel"/>
    <w:tmpl w:val="335498D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D8D50EA"/>
    <w:multiLevelType w:val="multilevel"/>
    <w:tmpl w:val="A0DC80E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483544446">
    <w:abstractNumId w:val="10"/>
  </w:num>
  <w:num w:numId="2" w16cid:durableId="1170407983">
    <w:abstractNumId w:val="4"/>
  </w:num>
  <w:num w:numId="3" w16cid:durableId="1660764012">
    <w:abstractNumId w:val="17"/>
  </w:num>
  <w:num w:numId="4" w16cid:durableId="1431730765">
    <w:abstractNumId w:val="18"/>
  </w:num>
  <w:num w:numId="5" w16cid:durableId="988362456">
    <w:abstractNumId w:val="11"/>
  </w:num>
  <w:num w:numId="6" w16cid:durableId="718827160">
    <w:abstractNumId w:val="21"/>
  </w:num>
  <w:num w:numId="7" w16cid:durableId="471218657">
    <w:abstractNumId w:val="22"/>
  </w:num>
  <w:num w:numId="8" w16cid:durableId="1618366691">
    <w:abstractNumId w:val="12"/>
  </w:num>
  <w:num w:numId="9" w16cid:durableId="1778403267">
    <w:abstractNumId w:val="16"/>
  </w:num>
  <w:num w:numId="10" w16cid:durableId="1060248892">
    <w:abstractNumId w:val="0"/>
  </w:num>
  <w:num w:numId="11" w16cid:durableId="44529375">
    <w:abstractNumId w:val="24"/>
  </w:num>
  <w:num w:numId="12" w16cid:durableId="1850750504">
    <w:abstractNumId w:val="15"/>
  </w:num>
  <w:num w:numId="13" w16cid:durableId="1162353542">
    <w:abstractNumId w:val="23"/>
  </w:num>
  <w:num w:numId="14" w16cid:durableId="1832215647">
    <w:abstractNumId w:val="14"/>
  </w:num>
  <w:num w:numId="15" w16cid:durableId="654771042">
    <w:abstractNumId w:val="6"/>
  </w:num>
  <w:num w:numId="16" w16cid:durableId="1718354521">
    <w:abstractNumId w:val="2"/>
  </w:num>
  <w:num w:numId="17" w16cid:durableId="1937473379">
    <w:abstractNumId w:val="13"/>
  </w:num>
  <w:num w:numId="18" w16cid:durableId="944118320">
    <w:abstractNumId w:val="1"/>
  </w:num>
  <w:num w:numId="19" w16cid:durableId="601911440">
    <w:abstractNumId w:val="20"/>
  </w:num>
  <w:num w:numId="20" w16cid:durableId="397755118">
    <w:abstractNumId w:val="7"/>
  </w:num>
  <w:num w:numId="21" w16cid:durableId="260335514">
    <w:abstractNumId w:val="8"/>
  </w:num>
  <w:num w:numId="22" w16cid:durableId="145097589">
    <w:abstractNumId w:val="19"/>
  </w:num>
  <w:num w:numId="23" w16cid:durableId="560557547">
    <w:abstractNumId w:val="5"/>
  </w:num>
  <w:num w:numId="24" w16cid:durableId="568342939">
    <w:abstractNumId w:val="3"/>
  </w:num>
  <w:num w:numId="25" w16cid:durableId="2019454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BF"/>
    <w:rsid w:val="00001018"/>
    <w:rsid w:val="000011C1"/>
    <w:rsid w:val="00004070"/>
    <w:rsid w:val="00004A32"/>
    <w:rsid w:val="000126BF"/>
    <w:rsid w:val="00021F83"/>
    <w:rsid w:val="00022407"/>
    <w:rsid w:val="00025ABF"/>
    <w:rsid w:val="00025AD6"/>
    <w:rsid w:val="000339EF"/>
    <w:rsid w:val="00036413"/>
    <w:rsid w:val="00036D29"/>
    <w:rsid w:val="000371CD"/>
    <w:rsid w:val="000371E8"/>
    <w:rsid w:val="0003754A"/>
    <w:rsid w:val="00043560"/>
    <w:rsid w:val="00044066"/>
    <w:rsid w:val="000473B5"/>
    <w:rsid w:val="00047E7E"/>
    <w:rsid w:val="0005389C"/>
    <w:rsid w:val="00056C35"/>
    <w:rsid w:val="00056E49"/>
    <w:rsid w:val="00057A62"/>
    <w:rsid w:val="000613E9"/>
    <w:rsid w:val="00065009"/>
    <w:rsid w:val="00071BB4"/>
    <w:rsid w:val="00076B41"/>
    <w:rsid w:val="00081251"/>
    <w:rsid w:val="00090F86"/>
    <w:rsid w:val="00097AB3"/>
    <w:rsid w:val="000A16C4"/>
    <w:rsid w:val="000B2834"/>
    <w:rsid w:val="000B7B0A"/>
    <w:rsid w:val="000C22A1"/>
    <w:rsid w:val="000C4AF6"/>
    <w:rsid w:val="000C4BAD"/>
    <w:rsid w:val="000C54E2"/>
    <w:rsid w:val="000D490D"/>
    <w:rsid w:val="000D6DD8"/>
    <w:rsid w:val="000E6DB2"/>
    <w:rsid w:val="000F0CA5"/>
    <w:rsid w:val="000F2DC7"/>
    <w:rsid w:val="00100354"/>
    <w:rsid w:val="00102883"/>
    <w:rsid w:val="00103FCC"/>
    <w:rsid w:val="0010597E"/>
    <w:rsid w:val="00107C93"/>
    <w:rsid w:val="0011671F"/>
    <w:rsid w:val="001230F0"/>
    <w:rsid w:val="00124067"/>
    <w:rsid w:val="00125037"/>
    <w:rsid w:val="00133050"/>
    <w:rsid w:val="00137273"/>
    <w:rsid w:val="00145DED"/>
    <w:rsid w:val="00150DCB"/>
    <w:rsid w:val="00151B54"/>
    <w:rsid w:val="0015290E"/>
    <w:rsid w:val="001546D8"/>
    <w:rsid w:val="00155FAC"/>
    <w:rsid w:val="001665D5"/>
    <w:rsid w:val="001678C7"/>
    <w:rsid w:val="001701A2"/>
    <w:rsid w:val="001824B0"/>
    <w:rsid w:val="001839F5"/>
    <w:rsid w:val="001871DE"/>
    <w:rsid w:val="00187DE0"/>
    <w:rsid w:val="00193D59"/>
    <w:rsid w:val="00194E51"/>
    <w:rsid w:val="001A0674"/>
    <w:rsid w:val="001A2189"/>
    <w:rsid w:val="001A54A7"/>
    <w:rsid w:val="001B31B8"/>
    <w:rsid w:val="001B3E39"/>
    <w:rsid w:val="001B51E5"/>
    <w:rsid w:val="001B6136"/>
    <w:rsid w:val="001B6BDF"/>
    <w:rsid w:val="001C6E90"/>
    <w:rsid w:val="001D4C77"/>
    <w:rsid w:val="001D5B23"/>
    <w:rsid w:val="001E1CA0"/>
    <w:rsid w:val="001E1CEF"/>
    <w:rsid w:val="001E2746"/>
    <w:rsid w:val="001E451F"/>
    <w:rsid w:val="001E49DF"/>
    <w:rsid w:val="001E7E2B"/>
    <w:rsid w:val="001F20F8"/>
    <w:rsid w:val="0020110D"/>
    <w:rsid w:val="00201428"/>
    <w:rsid w:val="002051BF"/>
    <w:rsid w:val="00210238"/>
    <w:rsid w:val="00210F24"/>
    <w:rsid w:val="00211603"/>
    <w:rsid w:val="0021479D"/>
    <w:rsid w:val="00215814"/>
    <w:rsid w:val="002158D7"/>
    <w:rsid w:val="00217735"/>
    <w:rsid w:val="00217BB2"/>
    <w:rsid w:val="00226AD4"/>
    <w:rsid w:val="002313AA"/>
    <w:rsid w:val="002331ED"/>
    <w:rsid w:val="00234724"/>
    <w:rsid w:val="00243A9F"/>
    <w:rsid w:val="00244726"/>
    <w:rsid w:val="0024588C"/>
    <w:rsid w:val="00252546"/>
    <w:rsid w:val="00253600"/>
    <w:rsid w:val="002563E6"/>
    <w:rsid w:val="002602B4"/>
    <w:rsid w:val="0026156E"/>
    <w:rsid w:val="002655B9"/>
    <w:rsid w:val="00276E5D"/>
    <w:rsid w:val="002805AF"/>
    <w:rsid w:val="00281800"/>
    <w:rsid w:val="00283155"/>
    <w:rsid w:val="00286377"/>
    <w:rsid w:val="00286487"/>
    <w:rsid w:val="00294721"/>
    <w:rsid w:val="00296EBF"/>
    <w:rsid w:val="00297409"/>
    <w:rsid w:val="002A6B89"/>
    <w:rsid w:val="002B3DD7"/>
    <w:rsid w:val="002C02C1"/>
    <w:rsid w:val="002C0372"/>
    <w:rsid w:val="002C4E38"/>
    <w:rsid w:val="002C6D48"/>
    <w:rsid w:val="002D1B45"/>
    <w:rsid w:val="002D3698"/>
    <w:rsid w:val="002D6D9A"/>
    <w:rsid w:val="002E6B92"/>
    <w:rsid w:val="002E6C95"/>
    <w:rsid w:val="002F254B"/>
    <w:rsid w:val="002F49B8"/>
    <w:rsid w:val="002F729F"/>
    <w:rsid w:val="002F7303"/>
    <w:rsid w:val="00301194"/>
    <w:rsid w:val="0030168A"/>
    <w:rsid w:val="00301CC4"/>
    <w:rsid w:val="003021B4"/>
    <w:rsid w:val="0030536F"/>
    <w:rsid w:val="0030625F"/>
    <w:rsid w:val="00307514"/>
    <w:rsid w:val="00311344"/>
    <w:rsid w:val="00311D06"/>
    <w:rsid w:val="003142AA"/>
    <w:rsid w:val="0031546B"/>
    <w:rsid w:val="00317FB4"/>
    <w:rsid w:val="003203D1"/>
    <w:rsid w:val="0032332E"/>
    <w:rsid w:val="0032370B"/>
    <w:rsid w:val="00323BCF"/>
    <w:rsid w:val="003242A3"/>
    <w:rsid w:val="00324F25"/>
    <w:rsid w:val="0032680F"/>
    <w:rsid w:val="003305DD"/>
    <w:rsid w:val="00331134"/>
    <w:rsid w:val="00331922"/>
    <w:rsid w:val="00333132"/>
    <w:rsid w:val="0033482F"/>
    <w:rsid w:val="00335F9D"/>
    <w:rsid w:val="003365F1"/>
    <w:rsid w:val="003366D2"/>
    <w:rsid w:val="00336E58"/>
    <w:rsid w:val="003417E6"/>
    <w:rsid w:val="00341D64"/>
    <w:rsid w:val="00343CE0"/>
    <w:rsid w:val="00352149"/>
    <w:rsid w:val="00352385"/>
    <w:rsid w:val="003540A8"/>
    <w:rsid w:val="003549A0"/>
    <w:rsid w:val="00354D47"/>
    <w:rsid w:val="00367549"/>
    <w:rsid w:val="0036788D"/>
    <w:rsid w:val="003744C8"/>
    <w:rsid w:val="00374FE5"/>
    <w:rsid w:val="003761B0"/>
    <w:rsid w:val="003824DE"/>
    <w:rsid w:val="00386366"/>
    <w:rsid w:val="0038709A"/>
    <w:rsid w:val="00387184"/>
    <w:rsid w:val="003873EC"/>
    <w:rsid w:val="00387D8E"/>
    <w:rsid w:val="00396DA6"/>
    <w:rsid w:val="00397BC6"/>
    <w:rsid w:val="003A050A"/>
    <w:rsid w:val="003A17C1"/>
    <w:rsid w:val="003A62DD"/>
    <w:rsid w:val="003B076C"/>
    <w:rsid w:val="003B1A0E"/>
    <w:rsid w:val="003B29FB"/>
    <w:rsid w:val="003C06F1"/>
    <w:rsid w:val="003C1E67"/>
    <w:rsid w:val="003C29F5"/>
    <w:rsid w:val="003E1346"/>
    <w:rsid w:val="003E26F8"/>
    <w:rsid w:val="003E7504"/>
    <w:rsid w:val="003F1CA9"/>
    <w:rsid w:val="003F3C00"/>
    <w:rsid w:val="003F4338"/>
    <w:rsid w:val="003F4EBE"/>
    <w:rsid w:val="003F515D"/>
    <w:rsid w:val="00402F4D"/>
    <w:rsid w:val="00405E23"/>
    <w:rsid w:val="00407276"/>
    <w:rsid w:val="004118B4"/>
    <w:rsid w:val="00412570"/>
    <w:rsid w:val="00414015"/>
    <w:rsid w:val="00414FBE"/>
    <w:rsid w:val="0041580C"/>
    <w:rsid w:val="00422A9C"/>
    <w:rsid w:val="0042368C"/>
    <w:rsid w:val="004273DA"/>
    <w:rsid w:val="004325F8"/>
    <w:rsid w:val="00434743"/>
    <w:rsid w:val="00436563"/>
    <w:rsid w:val="0045230D"/>
    <w:rsid w:val="00454C1F"/>
    <w:rsid w:val="0046022F"/>
    <w:rsid w:val="00462502"/>
    <w:rsid w:val="004636C5"/>
    <w:rsid w:val="00464DD7"/>
    <w:rsid w:val="00466324"/>
    <w:rsid w:val="0046682B"/>
    <w:rsid w:val="004756D6"/>
    <w:rsid w:val="00491879"/>
    <w:rsid w:val="00492096"/>
    <w:rsid w:val="00497FDB"/>
    <w:rsid w:val="004A4987"/>
    <w:rsid w:val="004B16CE"/>
    <w:rsid w:val="004B4B97"/>
    <w:rsid w:val="004B4BF6"/>
    <w:rsid w:val="004B6874"/>
    <w:rsid w:val="004B735B"/>
    <w:rsid w:val="004C06CE"/>
    <w:rsid w:val="004C141F"/>
    <w:rsid w:val="004C2B12"/>
    <w:rsid w:val="004C55C9"/>
    <w:rsid w:val="004C5D17"/>
    <w:rsid w:val="004D05AA"/>
    <w:rsid w:val="004D58B6"/>
    <w:rsid w:val="004D62B3"/>
    <w:rsid w:val="004E078B"/>
    <w:rsid w:val="004E0E74"/>
    <w:rsid w:val="004E193C"/>
    <w:rsid w:val="004E421C"/>
    <w:rsid w:val="004E6B61"/>
    <w:rsid w:val="004F0DA5"/>
    <w:rsid w:val="004F3339"/>
    <w:rsid w:val="004F74A7"/>
    <w:rsid w:val="00507F49"/>
    <w:rsid w:val="00513F78"/>
    <w:rsid w:val="0051614D"/>
    <w:rsid w:val="0051687B"/>
    <w:rsid w:val="0052234E"/>
    <w:rsid w:val="00524222"/>
    <w:rsid w:val="00524C06"/>
    <w:rsid w:val="0052586B"/>
    <w:rsid w:val="00536F3C"/>
    <w:rsid w:val="00537852"/>
    <w:rsid w:val="00543368"/>
    <w:rsid w:val="00545107"/>
    <w:rsid w:val="00547BC8"/>
    <w:rsid w:val="00550637"/>
    <w:rsid w:val="005532CC"/>
    <w:rsid w:val="00556BCA"/>
    <w:rsid w:val="005646F8"/>
    <w:rsid w:val="00577C8D"/>
    <w:rsid w:val="00581A20"/>
    <w:rsid w:val="0058260D"/>
    <w:rsid w:val="00584357"/>
    <w:rsid w:val="00586CC6"/>
    <w:rsid w:val="00590AAC"/>
    <w:rsid w:val="00594367"/>
    <w:rsid w:val="005977EA"/>
    <w:rsid w:val="005A2734"/>
    <w:rsid w:val="005B0760"/>
    <w:rsid w:val="005B1752"/>
    <w:rsid w:val="005B17AD"/>
    <w:rsid w:val="005B2F00"/>
    <w:rsid w:val="005B32B4"/>
    <w:rsid w:val="005B34CC"/>
    <w:rsid w:val="005B540A"/>
    <w:rsid w:val="005B5C16"/>
    <w:rsid w:val="005B62A7"/>
    <w:rsid w:val="005B6B18"/>
    <w:rsid w:val="005C2A61"/>
    <w:rsid w:val="005C7301"/>
    <w:rsid w:val="005C7DCB"/>
    <w:rsid w:val="005D52E9"/>
    <w:rsid w:val="005D6512"/>
    <w:rsid w:val="005D6839"/>
    <w:rsid w:val="005D74F4"/>
    <w:rsid w:val="005E2224"/>
    <w:rsid w:val="005E2235"/>
    <w:rsid w:val="005E32A4"/>
    <w:rsid w:val="005E4AB7"/>
    <w:rsid w:val="005E5C61"/>
    <w:rsid w:val="005F03B6"/>
    <w:rsid w:val="005F0943"/>
    <w:rsid w:val="005F1A02"/>
    <w:rsid w:val="005F5461"/>
    <w:rsid w:val="005F7886"/>
    <w:rsid w:val="005F7BED"/>
    <w:rsid w:val="00604879"/>
    <w:rsid w:val="0061010B"/>
    <w:rsid w:val="00612169"/>
    <w:rsid w:val="0061592F"/>
    <w:rsid w:val="00615DB3"/>
    <w:rsid w:val="00622CB5"/>
    <w:rsid w:val="00623616"/>
    <w:rsid w:val="00630A26"/>
    <w:rsid w:val="00631C19"/>
    <w:rsid w:val="00632D6F"/>
    <w:rsid w:val="00632DC9"/>
    <w:rsid w:val="00634A6D"/>
    <w:rsid w:val="006363ED"/>
    <w:rsid w:val="006368FD"/>
    <w:rsid w:val="00641959"/>
    <w:rsid w:val="00641A2F"/>
    <w:rsid w:val="00642866"/>
    <w:rsid w:val="0064603C"/>
    <w:rsid w:val="006466BC"/>
    <w:rsid w:val="00646D7F"/>
    <w:rsid w:val="00647160"/>
    <w:rsid w:val="006513F7"/>
    <w:rsid w:val="006545D1"/>
    <w:rsid w:val="006571EA"/>
    <w:rsid w:val="00661439"/>
    <w:rsid w:val="00661C28"/>
    <w:rsid w:val="00663A4C"/>
    <w:rsid w:val="00665FCB"/>
    <w:rsid w:val="00666EF1"/>
    <w:rsid w:val="00671EEC"/>
    <w:rsid w:val="00672641"/>
    <w:rsid w:val="00672857"/>
    <w:rsid w:val="0067343F"/>
    <w:rsid w:val="0067350E"/>
    <w:rsid w:val="0067737C"/>
    <w:rsid w:val="00680D37"/>
    <w:rsid w:val="006830F8"/>
    <w:rsid w:val="00683EF0"/>
    <w:rsid w:val="0068672E"/>
    <w:rsid w:val="006A0D71"/>
    <w:rsid w:val="006A1586"/>
    <w:rsid w:val="006B14F2"/>
    <w:rsid w:val="006B2056"/>
    <w:rsid w:val="006B598A"/>
    <w:rsid w:val="006B5CDC"/>
    <w:rsid w:val="006B7A03"/>
    <w:rsid w:val="006C196F"/>
    <w:rsid w:val="006C252B"/>
    <w:rsid w:val="006C2679"/>
    <w:rsid w:val="006D0DE6"/>
    <w:rsid w:val="006D3247"/>
    <w:rsid w:val="006D7152"/>
    <w:rsid w:val="006D79E0"/>
    <w:rsid w:val="006E1BF9"/>
    <w:rsid w:val="006E35CF"/>
    <w:rsid w:val="006E5859"/>
    <w:rsid w:val="006E6CCD"/>
    <w:rsid w:val="006F0EC1"/>
    <w:rsid w:val="006F2E9F"/>
    <w:rsid w:val="006F4100"/>
    <w:rsid w:val="00704641"/>
    <w:rsid w:val="00716542"/>
    <w:rsid w:val="00722C5B"/>
    <w:rsid w:val="00726D9D"/>
    <w:rsid w:val="00726E2E"/>
    <w:rsid w:val="007346E1"/>
    <w:rsid w:val="0073500F"/>
    <w:rsid w:val="007353FC"/>
    <w:rsid w:val="0073614A"/>
    <w:rsid w:val="00745D1E"/>
    <w:rsid w:val="00750FF8"/>
    <w:rsid w:val="007522FF"/>
    <w:rsid w:val="007525AE"/>
    <w:rsid w:val="00754B32"/>
    <w:rsid w:val="00754CC3"/>
    <w:rsid w:val="00755151"/>
    <w:rsid w:val="00760164"/>
    <w:rsid w:val="0076480E"/>
    <w:rsid w:val="00766F0D"/>
    <w:rsid w:val="00767DC9"/>
    <w:rsid w:val="00767F11"/>
    <w:rsid w:val="00770A13"/>
    <w:rsid w:val="00770BB5"/>
    <w:rsid w:val="007746AB"/>
    <w:rsid w:val="0077482F"/>
    <w:rsid w:val="00782F18"/>
    <w:rsid w:val="007838B3"/>
    <w:rsid w:val="00783B04"/>
    <w:rsid w:val="007877B7"/>
    <w:rsid w:val="007903CB"/>
    <w:rsid w:val="00791A43"/>
    <w:rsid w:val="00791D2F"/>
    <w:rsid w:val="007A139A"/>
    <w:rsid w:val="007A2E9D"/>
    <w:rsid w:val="007A6E7D"/>
    <w:rsid w:val="007C4FDD"/>
    <w:rsid w:val="007C5015"/>
    <w:rsid w:val="007C5409"/>
    <w:rsid w:val="007C71B6"/>
    <w:rsid w:val="007D5A95"/>
    <w:rsid w:val="007E0569"/>
    <w:rsid w:val="007E449E"/>
    <w:rsid w:val="007F0AF6"/>
    <w:rsid w:val="007F40EC"/>
    <w:rsid w:val="007F56DD"/>
    <w:rsid w:val="007F5B20"/>
    <w:rsid w:val="007F6133"/>
    <w:rsid w:val="007F7077"/>
    <w:rsid w:val="00801C2D"/>
    <w:rsid w:val="00803038"/>
    <w:rsid w:val="00804B66"/>
    <w:rsid w:val="00805235"/>
    <w:rsid w:val="00806220"/>
    <w:rsid w:val="00806543"/>
    <w:rsid w:val="008109F4"/>
    <w:rsid w:val="00814CE4"/>
    <w:rsid w:val="00815306"/>
    <w:rsid w:val="0081570C"/>
    <w:rsid w:val="00821106"/>
    <w:rsid w:val="0082294E"/>
    <w:rsid w:val="0082516E"/>
    <w:rsid w:val="00837CBF"/>
    <w:rsid w:val="00840B5F"/>
    <w:rsid w:val="00841765"/>
    <w:rsid w:val="0084613F"/>
    <w:rsid w:val="00855251"/>
    <w:rsid w:val="008572BA"/>
    <w:rsid w:val="0086085A"/>
    <w:rsid w:val="008618A3"/>
    <w:rsid w:val="00861A11"/>
    <w:rsid w:val="00863155"/>
    <w:rsid w:val="0086636C"/>
    <w:rsid w:val="00866C5F"/>
    <w:rsid w:val="00876900"/>
    <w:rsid w:val="00880E10"/>
    <w:rsid w:val="00884602"/>
    <w:rsid w:val="00884DFD"/>
    <w:rsid w:val="00886BBC"/>
    <w:rsid w:val="008879CC"/>
    <w:rsid w:val="008906DE"/>
    <w:rsid w:val="00890E01"/>
    <w:rsid w:val="00892B9A"/>
    <w:rsid w:val="008938E0"/>
    <w:rsid w:val="0089638E"/>
    <w:rsid w:val="00897FC4"/>
    <w:rsid w:val="008A066A"/>
    <w:rsid w:val="008A266D"/>
    <w:rsid w:val="008A6D05"/>
    <w:rsid w:val="008B13A4"/>
    <w:rsid w:val="008B463B"/>
    <w:rsid w:val="008B6843"/>
    <w:rsid w:val="008B713B"/>
    <w:rsid w:val="008C3A54"/>
    <w:rsid w:val="008C40EB"/>
    <w:rsid w:val="008C48AA"/>
    <w:rsid w:val="008C53CC"/>
    <w:rsid w:val="008C5A2D"/>
    <w:rsid w:val="008C5A59"/>
    <w:rsid w:val="008D0A75"/>
    <w:rsid w:val="008D5D5A"/>
    <w:rsid w:val="008D6C50"/>
    <w:rsid w:val="008D7998"/>
    <w:rsid w:val="008E3364"/>
    <w:rsid w:val="008E5969"/>
    <w:rsid w:val="008E6267"/>
    <w:rsid w:val="008F2114"/>
    <w:rsid w:val="008F6BA9"/>
    <w:rsid w:val="00901099"/>
    <w:rsid w:val="009021F2"/>
    <w:rsid w:val="0090252E"/>
    <w:rsid w:val="009033AA"/>
    <w:rsid w:val="00915357"/>
    <w:rsid w:val="00916CEA"/>
    <w:rsid w:val="00925221"/>
    <w:rsid w:val="00930C5A"/>
    <w:rsid w:val="00932704"/>
    <w:rsid w:val="00933074"/>
    <w:rsid w:val="0093356C"/>
    <w:rsid w:val="0093515B"/>
    <w:rsid w:val="009357DD"/>
    <w:rsid w:val="0094305D"/>
    <w:rsid w:val="00953739"/>
    <w:rsid w:val="00954D64"/>
    <w:rsid w:val="00960BC0"/>
    <w:rsid w:val="00963EC4"/>
    <w:rsid w:val="00964273"/>
    <w:rsid w:val="00965B23"/>
    <w:rsid w:val="00966BE2"/>
    <w:rsid w:val="00973804"/>
    <w:rsid w:val="00977103"/>
    <w:rsid w:val="00980A2D"/>
    <w:rsid w:val="00980C05"/>
    <w:rsid w:val="00982A7B"/>
    <w:rsid w:val="00985DFC"/>
    <w:rsid w:val="00985FCB"/>
    <w:rsid w:val="009860CB"/>
    <w:rsid w:val="009909B5"/>
    <w:rsid w:val="00993D22"/>
    <w:rsid w:val="009946CB"/>
    <w:rsid w:val="00997621"/>
    <w:rsid w:val="009B0793"/>
    <w:rsid w:val="009B2A3D"/>
    <w:rsid w:val="009B4787"/>
    <w:rsid w:val="009C1068"/>
    <w:rsid w:val="009C24A6"/>
    <w:rsid w:val="009C2B96"/>
    <w:rsid w:val="009C59F8"/>
    <w:rsid w:val="009C646F"/>
    <w:rsid w:val="009D0452"/>
    <w:rsid w:val="009D3F91"/>
    <w:rsid w:val="009D6128"/>
    <w:rsid w:val="009F3554"/>
    <w:rsid w:val="009F5577"/>
    <w:rsid w:val="00A047EB"/>
    <w:rsid w:val="00A17183"/>
    <w:rsid w:val="00A23F9F"/>
    <w:rsid w:val="00A343D3"/>
    <w:rsid w:val="00A374DA"/>
    <w:rsid w:val="00A404A2"/>
    <w:rsid w:val="00A4096E"/>
    <w:rsid w:val="00A444CF"/>
    <w:rsid w:val="00A4707D"/>
    <w:rsid w:val="00A47404"/>
    <w:rsid w:val="00A540A0"/>
    <w:rsid w:val="00A56181"/>
    <w:rsid w:val="00A56EF4"/>
    <w:rsid w:val="00A6107E"/>
    <w:rsid w:val="00A6174E"/>
    <w:rsid w:val="00A667C7"/>
    <w:rsid w:val="00A673AB"/>
    <w:rsid w:val="00A7326F"/>
    <w:rsid w:val="00A7752D"/>
    <w:rsid w:val="00A80EFB"/>
    <w:rsid w:val="00A83222"/>
    <w:rsid w:val="00A837D0"/>
    <w:rsid w:val="00A86B09"/>
    <w:rsid w:val="00A91385"/>
    <w:rsid w:val="00A938C1"/>
    <w:rsid w:val="00A9411B"/>
    <w:rsid w:val="00A94AE2"/>
    <w:rsid w:val="00A9694E"/>
    <w:rsid w:val="00A96BC6"/>
    <w:rsid w:val="00AA1997"/>
    <w:rsid w:val="00AA45B8"/>
    <w:rsid w:val="00AA757C"/>
    <w:rsid w:val="00AB6CCE"/>
    <w:rsid w:val="00AB7968"/>
    <w:rsid w:val="00AC1C39"/>
    <w:rsid w:val="00AC472E"/>
    <w:rsid w:val="00AD0489"/>
    <w:rsid w:val="00AD0A5B"/>
    <w:rsid w:val="00AD1FE1"/>
    <w:rsid w:val="00AD2C25"/>
    <w:rsid w:val="00AD2D78"/>
    <w:rsid w:val="00AE09DA"/>
    <w:rsid w:val="00AE1FF7"/>
    <w:rsid w:val="00AE446A"/>
    <w:rsid w:val="00AE7B04"/>
    <w:rsid w:val="00AF0D4E"/>
    <w:rsid w:val="00AF389D"/>
    <w:rsid w:val="00B00E07"/>
    <w:rsid w:val="00B10B3A"/>
    <w:rsid w:val="00B11295"/>
    <w:rsid w:val="00B14EC6"/>
    <w:rsid w:val="00B218AE"/>
    <w:rsid w:val="00B240B5"/>
    <w:rsid w:val="00B30021"/>
    <w:rsid w:val="00B3116C"/>
    <w:rsid w:val="00B348BB"/>
    <w:rsid w:val="00B34AD1"/>
    <w:rsid w:val="00B37C37"/>
    <w:rsid w:val="00B414DC"/>
    <w:rsid w:val="00B42640"/>
    <w:rsid w:val="00B42BDB"/>
    <w:rsid w:val="00B44F75"/>
    <w:rsid w:val="00B54DF6"/>
    <w:rsid w:val="00B55D3B"/>
    <w:rsid w:val="00B6009A"/>
    <w:rsid w:val="00B6312F"/>
    <w:rsid w:val="00B656B6"/>
    <w:rsid w:val="00B66DA1"/>
    <w:rsid w:val="00B67C19"/>
    <w:rsid w:val="00B71394"/>
    <w:rsid w:val="00B76048"/>
    <w:rsid w:val="00B76C30"/>
    <w:rsid w:val="00B76C8C"/>
    <w:rsid w:val="00B777EE"/>
    <w:rsid w:val="00B8544D"/>
    <w:rsid w:val="00B85B76"/>
    <w:rsid w:val="00B873F4"/>
    <w:rsid w:val="00B9020D"/>
    <w:rsid w:val="00B93A3C"/>
    <w:rsid w:val="00B93DA6"/>
    <w:rsid w:val="00B96DEE"/>
    <w:rsid w:val="00BA7793"/>
    <w:rsid w:val="00BC1227"/>
    <w:rsid w:val="00BC4A4B"/>
    <w:rsid w:val="00BC6974"/>
    <w:rsid w:val="00BD30BF"/>
    <w:rsid w:val="00BE3007"/>
    <w:rsid w:val="00BF07C9"/>
    <w:rsid w:val="00BF09D1"/>
    <w:rsid w:val="00BF0E74"/>
    <w:rsid w:val="00BF2E26"/>
    <w:rsid w:val="00C0068B"/>
    <w:rsid w:val="00C015E6"/>
    <w:rsid w:val="00C045CF"/>
    <w:rsid w:val="00C06043"/>
    <w:rsid w:val="00C0723C"/>
    <w:rsid w:val="00C10599"/>
    <w:rsid w:val="00C1092B"/>
    <w:rsid w:val="00C11993"/>
    <w:rsid w:val="00C12C1A"/>
    <w:rsid w:val="00C15913"/>
    <w:rsid w:val="00C15ADA"/>
    <w:rsid w:val="00C17632"/>
    <w:rsid w:val="00C17EDD"/>
    <w:rsid w:val="00C20517"/>
    <w:rsid w:val="00C27A70"/>
    <w:rsid w:val="00C345C5"/>
    <w:rsid w:val="00C3613B"/>
    <w:rsid w:val="00C43B5E"/>
    <w:rsid w:val="00C46620"/>
    <w:rsid w:val="00C5005C"/>
    <w:rsid w:val="00C5169A"/>
    <w:rsid w:val="00C56DD5"/>
    <w:rsid w:val="00C60752"/>
    <w:rsid w:val="00C62A1F"/>
    <w:rsid w:val="00C63EAF"/>
    <w:rsid w:val="00C64526"/>
    <w:rsid w:val="00C64997"/>
    <w:rsid w:val="00C66D03"/>
    <w:rsid w:val="00C6715A"/>
    <w:rsid w:val="00C70B53"/>
    <w:rsid w:val="00C70DED"/>
    <w:rsid w:val="00C7544B"/>
    <w:rsid w:val="00C767EC"/>
    <w:rsid w:val="00C77964"/>
    <w:rsid w:val="00C81A4F"/>
    <w:rsid w:val="00C82414"/>
    <w:rsid w:val="00C8291D"/>
    <w:rsid w:val="00C8338A"/>
    <w:rsid w:val="00C92547"/>
    <w:rsid w:val="00C9388F"/>
    <w:rsid w:val="00C93F33"/>
    <w:rsid w:val="00C94561"/>
    <w:rsid w:val="00C976E3"/>
    <w:rsid w:val="00CA0DE1"/>
    <w:rsid w:val="00CA16FD"/>
    <w:rsid w:val="00CA2186"/>
    <w:rsid w:val="00CB6A0F"/>
    <w:rsid w:val="00CC3B3C"/>
    <w:rsid w:val="00CC5860"/>
    <w:rsid w:val="00CC6E01"/>
    <w:rsid w:val="00CD2D5F"/>
    <w:rsid w:val="00CD3870"/>
    <w:rsid w:val="00CD4936"/>
    <w:rsid w:val="00CD5942"/>
    <w:rsid w:val="00CE06B1"/>
    <w:rsid w:val="00CE0CCC"/>
    <w:rsid w:val="00CE3BCE"/>
    <w:rsid w:val="00CE5534"/>
    <w:rsid w:val="00CF6794"/>
    <w:rsid w:val="00CF6935"/>
    <w:rsid w:val="00D000CF"/>
    <w:rsid w:val="00D026C4"/>
    <w:rsid w:val="00D03849"/>
    <w:rsid w:val="00D05B1D"/>
    <w:rsid w:val="00D12551"/>
    <w:rsid w:val="00D13154"/>
    <w:rsid w:val="00D15D9C"/>
    <w:rsid w:val="00D15FC5"/>
    <w:rsid w:val="00D25733"/>
    <w:rsid w:val="00D26674"/>
    <w:rsid w:val="00D32755"/>
    <w:rsid w:val="00D42D65"/>
    <w:rsid w:val="00D4599D"/>
    <w:rsid w:val="00D45F69"/>
    <w:rsid w:val="00D46BD5"/>
    <w:rsid w:val="00D47B8E"/>
    <w:rsid w:val="00D529F4"/>
    <w:rsid w:val="00D53820"/>
    <w:rsid w:val="00D53D2E"/>
    <w:rsid w:val="00D562D7"/>
    <w:rsid w:val="00D57604"/>
    <w:rsid w:val="00D57C85"/>
    <w:rsid w:val="00D57D32"/>
    <w:rsid w:val="00D60154"/>
    <w:rsid w:val="00D62FF0"/>
    <w:rsid w:val="00D640BE"/>
    <w:rsid w:val="00D64F21"/>
    <w:rsid w:val="00D700A5"/>
    <w:rsid w:val="00D70E15"/>
    <w:rsid w:val="00D726A7"/>
    <w:rsid w:val="00D729DB"/>
    <w:rsid w:val="00D767B8"/>
    <w:rsid w:val="00D76F4C"/>
    <w:rsid w:val="00D772AD"/>
    <w:rsid w:val="00D8051D"/>
    <w:rsid w:val="00D8103D"/>
    <w:rsid w:val="00D83B16"/>
    <w:rsid w:val="00D94F23"/>
    <w:rsid w:val="00D954EB"/>
    <w:rsid w:val="00DA08F1"/>
    <w:rsid w:val="00DA0B6E"/>
    <w:rsid w:val="00DA25FC"/>
    <w:rsid w:val="00DB3C24"/>
    <w:rsid w:val="00DB43C2"/>
    <w:rsid w:val="00DB5D76"/>
    <w:rsid w:val="00DB6D1D"/>
    <w:rsid w:val="00DB794E"/>
    <w:rsid w:val="00DC0B93"/>
    <w:rsid w:val="00DC4D63"/>
    <w:rsid w:val="00DC5A13"/>
    <w:rsid w:val="00DE48F4"/>
    <w:rsid w:val="00DE6F52"/>
    <w:rsid w:val="00DF5522"/>
    <w:rsid w:val="00DF56C0"/>
    <w:rsid w:val="00E00074"/>
    <w:rsid w:val="00E02E96"/>
    <w:rsid w:val="00E03BA0"/>
    <w:rsid w:val="00E050A4"/>
    <w:rsid w:val="00E05C62"/>
    <w:rsid w:val="00E06543"/>
    <w:rsid w:val="00E06BCA"/>
    <w:rsid w:val="00E06F0D"/>
    <w:rsid w:val="00E10180"/>
    <w:rsid w:val="00E11954"/>
    <w:rsid w:val="00E123DB"/>
    <w:rsid w:val="00E153FD"/>
    <w:rsid w:val="00E15904"/>
    <w:rsid w:val="00E165CA"/>
    <w:rsid w:val="00E176B8"/>
    <w:rsid w:val="00E22014"/>
    <w:rsid w:val="00E33952"/>
    <w:rsid w:val="00E36925"/>
    <w:rsid w:val="00E37525"/>
    <w:rsid w:val="00E43EB7"/>
    <w:rsid w:val="00E45253"/>
    <w:rsid w:val="00E5137E"/>
    <w:rsid w:val="00E51474"/>
    <w:rsid w:val="00E514EE"/>
    <w:rsid w:val="00E5295F"/>
    <w:rsid w:val="00E5713C"/>
    <w:rsid w:val="00E57F7C"/>
    <w:rsid w:val="00E606C7"/>
    <w:rsid w:val="00E63159"/>
    <w:rsid w:val="00E70953"/>
    <w:rsid w:val="00E81EC7"/>
    <w:rsid w:val="00E83BB5"/>
    <w:rsid w:val="00E83CE6"/>
    <w:rsid w:val="00E844B1"/>
    <w:rsid w:val="00E8685C"/>
    <w:rsid w:val="00E9047A"/>
    <w:rsid w:val="00E9110A"/>
    <w:rsid w:val="00E93B02"/>
    <w:rsid w:val="00E94553"/>
    <w:rsid w:val="00E97EAF"/>
    <w:rsid w:val="00EA1780"/>
    <w:rsid w:val="00EA18AD"/>
    <w:rsid w:val="00EA3D8A"/>
    <w:rsid w:val="00EA7432"/>
    <w:rsid w:val="00EB17D2"/>
    <w:rsid w:val="00EB2CB4"/>
    <w:rsid w:val="00EB450B"/>
    <w:rsid w:val="00EC2DE8"/>
    <w:rsid w:val="00EC2F52"/>
    <w:rsid w:val="00EC64CF"/>
    <w:rsid w:val="00ED2E61"/>
    <w:rsid w:val="00ED526E"/>
    <w:rsid w:val="00EE300D"/>
    <w:rsid w:val="00EE452B"/>
    <w:rsid w:val="00EF187C"/>
    <w:rsid w:val="00EF19D3"/>
    <w:rsid w:val="00EF402C"/>
    <w:rsid w:val="00EF7342"/>
    <w:rsid w:val="00F0215E"/>
    <w:rsid w:val="00F042C2"/>
    <w:rsid w:val="00F0666C"/>
    <w:rsid w:val="00F12161"/>
    <w:rsid w:val="00F14697"/>
    <w:rsid w:val="00F1485B"/>
    <w:rsid w:val="00F2013A"/>
    <w:rsid w:val="00F227F6"/>
    <w:rsid w:val="00F24413"/>
    <w:rsid w:val="00F30492"/>
    <w:rsid w:val="00F3169A"/>
    <w:rsid w:val="00F32E33"/>
    <w:rsid w:val="00F425FA"/>
    <w:rsid w:val="00F45BEF"/>
    <w:rsid w:val="00F51F9D"/>
    <w:rsid w:val="00F5579B"/>
    <w:rsid w:val="00F601CA"/>
    <w:rsid w:val="00F6399C"/>
    <w:rsid w:val="00F64ECF"/>
    <w:rsid w:val="00F70ADC"/>
    <w:rsid w:val="00F74E64"/>
    <w:rsid w:val="00F84AE4"/>
    <w:rsid w:val="00F875D9"/>
    <w:rsid w:val="00F94116"/>
    <w:rsid w:val="00F9484F"/>
    <w:rsid w:val="00F948CC"/>
    <w:rsid w:val="00FA29B8"/>
    <w:rsid w:val="00FA5C27"/>
    <w:rsid w:val="00FA6A06"/>
    <w:rsid w:val="00FB2EB1"/>
    <w:rsid w:val="00FB41D5"/>
    <w:rsid w:val="00FB5829"/>
    <w:rsid w:val="00FC09BC"/>
    <w:rsid w:val="00FC2413"/>
    <w:rsid w:val="00FC2819"/>
    <w:rsid w:val="00FC72EB"/>
    <w:rsid w:val="00FC777D"/>
    <w:rsid w:val="00FC7EFC"/>
    <w:rsid w:val="00FD2F3E"/>
    <w:rsid w:val="00FD3286"/>
    <w:rsid w:val="00FD5A32"/>
    <w:rsid w:val="00FD69A2"/>
    <w:rsid w:val="00FD6D9A"/>
    <w:rsid w:val="00FE089F"/>
    <w:rsid w:val="00FE1D93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89C91"/>
  <w15:docId w15:val="{B39A7A3E-E2FF-4543-9E75-0629BBF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EB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417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15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A4C"/>
  </w:style>
  <w:style w:type="table" w:styleId="TableGrid">
    <w:name w:val="Table Grid"/>
    <w:basedOn w:val="TableNormal"/>
    <w:rsid w:val="0089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D7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97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6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6E3"/>
    <w:rPr>
      <w:b/>
      <w:bCs/>
    </w:rPr>
  </w:style>
  <w:style w:type="paragraph" w:styleId="Caption">
    <w:name w:val="caption"/>
    <w:basedOn w:val="Normal"/>
    <w:next w:val="Normal"/>
    <w:unhideWhenUsed/>
    <w:qFormat/>
    <w:rsid w:val="00AD2C25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40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40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0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17E6"/>
    <w:rPr>
      <w:b/>
      <w:bCs/>
      <w:sz w:val="36"/>
      <w:szCs w:val="36"/>
    </w:rPr>
  </w:style>
  <w:style w:type="character" w:customStyle="1" w:styleId="number">
    <w:name w:val="number"/>
    <w:basedOn w:val="DefaultParagraphFont"/>
    <w:rsid w:val="003417E6"/>
  </w:style>
  <w:style w:type="character" w:customStyle="1" w:styleId="Heading4Char">
    <w:name w:val="Heading 4 Char"/>
    <w:basedOn w:val="DefaultParagraphFont"/>
    <w:link w:val="Heading4"/>
    <w:semiHidden/>
    <w:rsid w:val="006A15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6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  <SharedWithUsers xmlns="962316f4-5d4e-44a8-a5ef-32b9ccfcf81e">
      <UserInfo>
        <DisplayName>Terry Shaw</DisplayName>
        <AccountId>4314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6" ma:contentTypeDescription="Create a new document." ma:contentTypeScope="" ma:versionID="1e19964b37660c80f4ad6ff54938ba7a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e29410765c47b703a66f3b7a65afee4e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06D09-FFD7-45D0-A6F8-47E20F314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03F72-4678-4DF2-AF0C-C1BFF76A6917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customXml/itemProps3.xml><?xml version="1.0" encoding="utf-8"?>
<ds:datastoreItem xmlns:ds="http://schemas.openxmlformats.org/officeDocument/2006/customXml" ds:itemID="{2E5C2E72-E719-464D-A3E7-672584F79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22nd May 2012</vt:lpstr>
    </vt:vector>
  </TitlesOfParts>
  <Company>London Borough Of Hillingdon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22nd May 2012</dc:title>
  <dc:creator>Kamla Jassal</dc:creator>
  <cp:lastModifiedBy>Sheilender Pathak</cp:lastModifiedBy>
  <cp:revision>2</cp:revision>
  <cp:lastPrinted>2015-04-24T14:46:00Z</cp:lastPrinted>
  <dcterms:created xsi:type="dcterms:W3CDTF">2023-10-24T08:01:00Z</dcterms:created>
  <dcterms:modified xsi:type="dcterms:W3CDTF">2023-10-24T08:01:00Z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2021-05-11T11:16:38Z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fd565035-f02d-42b0-a1b5-f18a93548ac2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